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8337D15" w14:textId="06DC3E38" w:rsidR="00D64317" w:rsidRPr="00CE0424" w:rsidRDefault="00D64317" w:rsidP="00D64317">
      <w:pPr>
        <w:pStyle w:val="3GPPHeader"/>
        <w:spacing w:after="60"/>
        <w:rPr>
          <w:sz w:val="32"/>
          <w:szCs w:val="32"/>
          <w:highlight w:val="yellow"/>
        </w:rPr>
      </w:pPr>
      <w:bookmarkStart w:id="0" w:name="_GoBack"/>
      <w:bookmarkEnd w:id="0"/>
      <w:r w:rsidRPr="00CE0424">
        <w:t>3GPP TSG-RAN WG</w:t>
      </w:r>
      <w:r>
        <w:t>2</w:t>
      </w:r>
      <w:r w:rsidRPr="00CE0424">
        <w:t xml:space="preserve"> #</w:t>
      </w:r>
      <w:r>
        <w:t>95bis</w:t>
      </w:r>
      <w:r w:rsidRPr="00CE0424">
        <w:tab/>
      </w:r>
      <w:r w:rsidRPr="00CE0424">
        <w:rPr>
          <w:sz w:val="32"/>
          <w:szCs w:val="32"/>
        </w:rPr>
        <w:t>Tdoc R2-</w:t>
      </w:r>
      <w:r w:rsidRPr="002C6262">
        <w:rPr>
          <w:sz w:val="32"/>
          <w:szCs w:val="32"/>
        </w:rPr>
        <w:t>16</w:t>
      </w:r>
      <w:r w:rsidR="002C6262" w:rsidRPr="002C6262">
        <w:rPr>
          <w:sz w:val="32"/>
          <w:szCs w:val="32"/>
        </w:rPr>
        <w:t>6782</w:t>
      </w:r>
    </w:p>
    <w:p w14:paraId="36F74FD6" w14:textId="2F14811E" w:rsidR="00D64317" w:rsidRDefault="00D64317" w:rsidP="00801EB6">
      <w:pPr>
        <w:pStyle w:val="CRCoverPage"/>
        <w:outlineLvl w:val="0"/>
        <w:rPr>
          <w:b/>
          <w:noProof/>
          <w:sz w:val="24"/>
        </w:rPr>
      </w:pPr>
      <w:r>
        <w:rPr>
          <w:b/>
          <w:noProof/>
          <w:sz w:val="24"/>
        </w:rPr>
        <w:t>Kaohsiung, Taiwan, 10</w:t>
      </w:r>
      <w:r w:rsidRPr="00317B01">
        <w:rPr>
          <w:b/>
          <w:noProof/>
          <w:sz w:val="24"/>
          <w:vertAlign w:val="superscript"/>
        </w:rPr>
        <w:t>th</w:t>
      </w:r>
      <w:r>
        <w:rPr>
          <w:b/>
          <w:noProof/>
          <w:sz w:val="24"/>
        </w:rPr>
        <w:t xml:space="preserve"> – 14</w:t>
      </w:r>
      <w:r w:rsidRPr="00317B01">
        <w:rPr>
          <w:b/>
          <w:noProof/>
          <w:sz w:val="24"/>
          <w:vertAlign w:val="superscript"/>
        </w:rPr>
        <w:t>th</w:t>
      </w:r>
      <w:r>
        <w:rPr>
          <w:b/>
          <w:noProof/>
          <w:sz w:val="24"/>
        </w:rPr>
        <w:t xml:space="preserve"> October 2016</w:t>
      </w:r>
    </w:p>
    <w:p w14:paraId="40AA2C12" w14:textId="4257A9EB" w:rsidR="00801EB6" w:rsidRDefault="00801EB6" w:rsidP="00801EB6">
      <w:pPr>
        <w:pStyle w:val="CRCoverPage"/>
        <w:outlineLvl w:val="0"/>
        <w:rPr>
          <w:b/>
          <w:noProof/>
          <w:sz w:val="24"/>
        </w:rPr>
      </w:pPr>
    </w:p>
    <w:p w14:paraId="381E6DAB" w14:textId="77777777" w:rsidR="00801EB6" w:rsidRPr="00801EB6" w:rsidRDefault="00801EB6" w:rsidP="00801EB6">
      <w:pPr>
        <w:pStyle w:val="CRCoverPage"/>
        <w:outlineLvl w:val="0"/>
        <w:rPr>
          <w:b/>
          <w:noProof/>
          <w:sz w:val="24"/>
        </w:rPr>
      </w:pPr>
    </w:p>
    <w:p w14:paraId="48BE8A80" w14:textId="30C0688A" w:rsidR="00D64317" w:rsidRPr="00FD3FB3" w:rsidRDefault="00D64317" w:rsidP="00D64317">
      <w:pPr>
        <w:pStyle w:val="3GPPHeader"/>
        <w:rPr>
          <w:sz w:val="22"/>
          <w:szCs w:val="22"/>
          <w:lang w:val="en-US"/>
        </w:rPr>
      </w:pPr>
      <w:r w:rsidRPr="00FD3FB3">
        <w:rPr>
          <w:sz w:val="22"/>
          <w:szCs w:val="22"/>
          <w:lang w:val="en-US"/>
        </w:rPr>
        <w:t>Agenda Item:</w:t>
      </w:r>
      <w:r w:rsidRPr="00FD3FB3">
        <w:rPr>
          <w:sz w:val="22"/>
          <w:szCs w:val="22"/>
          <w:lang w:val="en-US"/>
        </w:rPr>
        <w:tab/>
      </w:r>
      <w:r w:rsidR="00051BD1" w:rsidRPr="00051BD1">
        <w:rPr>
          <w:sz w:val="22"/>
          <w:szCs w:val="22"/>
          <w:lang w:val="en-US"/>
        </w:rPr>
        <w:t>9.2.2.4</w:t>
      </w:r>
    </w:p>
    <w:p w14:paraId="50D42E76" w14:textId="77777777" w:rsidR="00D64317" w:rsidRPr="00CE0424" w:rsidRDefault="00D64317" w:rsidP="00D64317">
      <w:pPr>
        <w:pStyle w:val="3GPPHeader"/>
        <w:rPr>
          <w:sz w:val="22"/>
          <w:szCs w:val="22"/>
        </w:rPr>
      </w:pPr>
      <w:r>
        <w:rPr>
          <w:sz w:val="22"/>
          <w:szCs w:val="22"/>
        </w:rPr>
        <w:t>Source:</w:t>
      </w:r>
      <w:r w:rsidRPr="00CE0424">
        <w:rPr>
          <w:sz w:val="22"/>
          <w:szCs w:val="22"/>
        </w:rPr>
        <w:tab/>
        <w:t>Ericsson</w:t>
      </w:r>
    </w:p>
    <w:p w14:paraId="77073629" w14:textId="29A26974" w:rsidR="00D64317" w:rsidRPr="00CE0424" w:rsidRDefault="00D64317" w:rsidP="00D64317">
      <w:pPr>
        <w:pStyle w:val="3GPPHeader"/>
        <w:rPr>
          <w:sz w:val="22"/>
          <w:szCs w:val="22"/>
        </w:rPr>
      </w:pPr>
      <w:r>
        <w:rPr>
          <w:sz w:val="22"/>
          <w:szCs w:val="22"/>
        </w:rPr>
        <w:t>Title:</w:t>
      </w:r>
      <w:r w:rsidRPr="00CE0424">
        <w:rPr>
          <w:sz w:val="22"/>
          <w:szCs w:val="22"/>
        </w:rPr>
        <w:tab/>
      </w:r>
      <w:r>
        <w:rPr>
          <w:sz w:val="22"/>
          <w:szCs w:val="22"/>
        </w:rPr>
        <w:t xml:space="preserve">UE capability </w:t>
      </w:r>
      <w:r w:rsidR="00AC7381">
        <w:rPr>
          <w:sz w:val="22"/>
          <w:szCs w:val="22"/>
        </w:rPr>
        <w:t>principle and signalling</w:t>
      </w:r>
    </w:p>
    <w:p w14:paraId="6AB5C62B" w14:textId="77777777" w:rsidR="00D64317" w:rsidRPr="00CE0424" w:rsidRDefault="00D64317" w:rsidP="00D64317">
      <w:pPr>
        <w:pStyle w:val="3GPPHeader"/>
        <w:rPr>
          <w:sz w:val="22"/>
          <w:szCs w:val="22"/>
        </w:rPr>
      </w:pPr>
      <w:r w:rsidRPr="00CE0424">
        <w:rPr>
          <w:sz w:val="22"/>
          <w:szCs w:val="22"/>
        </w:rPr>
        <w:t>Document for:</w:t>
      </w:r>
      <w:r w:rsidRPr="00CE0424">
        <w:rPr>
          <w:sz w:val="22"/>
          <w:szCs w:val="22"/>
        </w:rPr>
        <w:tab/>
      </w:r>
      <w:r w:rsidRPr="0006057A">
        <w:rPr>
          <w:sz w:val="22"/>
          <w:szCs w:val="22"/>
        </w:rPr>
        <w:t>Discussion, Decision</w:t>
      </w:r>
    </w:p>
    <w:p w14:paraId="5A804273" w14:textId="77777777" w:rsidR="00D64317" w:rsidRPr="00CE0424" w:rsidRDefault="00D64317" w:rsidP="00D64317"/>
    <w:p w14:paraId="461E8B9A" w14:textId="1576D274" w:rsidR="004141DD" w:rsidRPr="00D64317" w:rsidRDefault="00D64317" w:rsidP="00D64317">
      <w:pPr>
        <w:pStyle w:val="Heading1"/>
      </w:pPr>
      <w:r w:rsidRPr="00CE0424">
        <w:t>Introduction</w:t>
      </w:r>
    </w:p>
    <w:p w14:paraId="6F4B6276" w14:textId="2F1902E7" w:rsidR="00A67B42" w:rsidRDefault="00A67B42" w:rsidP="00A67B42">
      <w:pPr>
        <w:rPr>
          <w:lang w:val="en-US"/>
        </w:rPr>
      </w:pPr>
      <w:r>
        <w:rPr>
          <w:lang w:val="en-US"/>
        </w:rPr>
        <w:t xml:space="preserve">RAN2 started to discuss capability signaling for NR. In LTE the ASN.1 encoded capability structure grew significantly in particular since the introduction of carrier aggregation. But also besides the band combinations other features such as CoMP and NAICS may cause a non-negligible amount of capability signaling. </w:t>
      </w:r>
    </w:p>
    <w:p w14:paraId="5208E7E5" w14:textId="32CD0942" w:rsidR="00332A77" w:rsidRPr="00332A77" w:rsidRDefault="00A67B42" w:rsidP="00707CE9">
      <w:pPr>
        <w:rPr>
          <w:lang w:val="en-US"/>
        </w:rPr>
      </w:pPr>
      <w:r>
        <w:rPr>
          <w:lang w:val="en-US"/>
        </w:rPr>
        <w:t>In this contribution we explain why we anyway consider it vital to base also NR on the principle that the UE provides its capabilities to the network and that the network configures the UE in line with those capabilities. Furthermore, we suggest ways for reducing the amount of capability signaling being exchanged while allowing various UE implementations and full testability.</w:t>
      </w:r>
    </w:p>
    <w:p w14:paraId="1478E5B1" w14:textId="73B3C614" w:rsidR="00A1679C" w:rsidRPr="00332A77" w:rsidRDefault="00A1679C" w:rsidP="004141DD">
      <w:pPr>
        <w:pStyle w:val="Heading1"/>
        <w:rPr>
          <w:lang w:val="en-US"/>
        </w:rPr>
      </w:pPr>
      <w:bookmarkStart w:id="1" w:name="_Ref462411760"/>
      <w:r w:rsidRPr="00332A77">
        <w:rPr>
          <w:lang w:val="en-US"/>
        </w:rPr>
        <w:t>Discussion</w:t>
      </w:r>
      <w:bookmarkEnd w:id="1"/>
    </w:p>
    <w:p w14:paraId="5D0C43E1" w14:textId="2DA79583" w:rsidR="00BB7961" w:rsidRDefault="00BB7961" w:rsidP="00332A77">
      <w:pPr>
        <w:rPr>
          <w:lang w:val="en-US"/>
        </w:rPr>
      </w:pPr>
      <w:r>
        <w:rPr>
          <w:lang w:val="en-US"/>
        </w:rPr>
        <w:t>RAN2 spends a considerable amount of time and effort to discuss and design capability signaling. Nevertheless, we consider this effort unavoidable for a system that is supposed to …</w:t>
      </w:r>
    </w:p>
    <w:p w14:paraId="7D842FE9" w14:textId="6044A792" w:rsidR="00BB7961" w:rsidRDefault="00BB7961" w:rsidP="00BB7961">
      <w:pPr>
        <w:pStyle w:val="ListBullet"/>
        <w:rPr>
          <w:lang w:val="en-US"/>
        </w:rPr>
      </w:pPr>
      <w:r>
        <w:rPr>
          <w:lang w:val="en-US"/>
        </w:rPr>
        <w:t>be interoperable so that every UE functions in every network</w:t>
      </w:r>
    </w:p>
    <w:p w14:paraId="1F72AF92" w14:textId="77777777" w:rsidR="00BB7961" w:rsidRDefault="00BB7961" w:rsidP="00BB7961">
      <w:pPr>
        <w:pStyle w:val="ListBullet"/>
        <w:rPr>
          <w:lang w:val="en-US"/>
        </w:rPr>
      </w:pPr>
      <w:r>
        <w:rPr>
          <w:lang w:val="en-US"/>
        </w:rPr>
        <w:t>support UEs with different feature sets</w:t>
      </w:r>
    </w:p>
    <w:p w14:paraId="747862F2" w14:textId="4978DAAB" w:rsidR="00BB7961" w:rsidRDefault="00BB7961" w:rsidP="00BB7961">
      <w:pPr>
        <w:pStyle w:val="ListBullet"/>
        <w:rPr>
          <w:lang w:val="en-US"/>
        </w:rPr>
      </w:pPr>
      <w:r>
        <w:rPr>
          <w:lang w:val="en-US"/>
        </w:rPr>
        <w:t>support networks with different feature sets</w:t>
      </w:r>
    </w:p>
    <w:p w14:paraId="0F280C06" w14:textId="2C4AFA59" w:rsidR="00BB7961" w:rsidRDefault="00BB7961" w:rsidP="00BB7961">
      <w:pPr>
        <w:pStyle w:val="ListBullet"/>
        <w:rPr>
          <w:lang w:val="en-US"/>
        </w:rPr>
      </w:pPr>
      <w:r>
        <w:rPr>
          <w:lang w:val="en-US"/>
        </w:rPr>
        <w:t xml:space="preserve">enable thorough device testing </w:t>
      </w:r>
    </w:p>
    <w:p w14:paraId="137B69B8" w14:textId="77777777" w:rsidR="00BB7961" w:rsidRDefault="00BB7961" w:rsidP="00BB7961">
      <w:pPr>
        <w:pStyle w:val="BodyText"/>
        <w:rPr>
          <w:lang w:val="en-US"/>
        </w:rPr>
      </w:pPr>
    </w:p>
    <w:p w14:paraId="4E89F233" w14:textId="0EF357CD" w:rsidR="005E3309" w:rsidRDefault="005E3309" w:rsidP="005E3309">
      <w:pPr>
        <w:rPr>
          <w:lang w:val="en-US"/>
        </w:rPr>
      </w:pPr>
      <w:r>
        <w:rPr>
          <w:lang w:val="en-US"/>
        </w:rPr>
        <w:t xml:space="preserve">We consider these characteristics as key contributors for the success of 3GPP systems and </w:t>
      </w:r>
      <w:r w:rsidR="00443E2D">
        <w:rPr>
          <w:lang w:val="en-US"/>
        </w:rPr>
        <w:t xml:space="preserve">they </w:t>
      </w:r>
      <w:r>
        <w:rPr>
          <w:lang w:val="en-US"/>
        </w:rPr>
        <w:t xml:space="preserve">should hence also be applicable to NR. To achieve that, RAN2 should reconfirm a few </w:t>
      </w:r>
      <w:r w:rsidR="004A0B28">
        <w:rPr>
          <w:lang w:val="en-US"/>
        </w:rPr>
        <w:t>principles</w:t>
      </w:r>
      <w:r w:rsidR="00443E2D">
        <w:rPr>
          <w:lang w:val="en-US"/>
        </w:rPr>
        <w:t xml:space="preserve"> that applied to LTE:</w:t>
      </w:r>
    </w:p>
    <w:p w14:paraId="1F588DE1" w14:textId="7FC7D957" w:rsidR="00BB7961" w:rsidRDefault="005958C8" w:rsidP="00BB7961">
      <w:pPr>
        <w:pStyle w:val="BodyText"/>
        <w:rPr>
          <w:lang w:val="en-US"/>
        </w:rPr>
      </w:pPr>
      <w:r>
        <w:rPr>
          <w:lang w:val="en-US"/>
        </w:rPr>
        <w:t xml:space="preserve">In order to achieve full interoperability, </w:t>
      </w:r>
      <w:r w:rsidR="00BB7961" w:rsidRPr="00BB7961">
        <w:rPr>
          <w:lang w:val="en-US"/>
        </w:rPr>
        <w:t xml:space="preserve">RAN2 </w:t>
      </w:r>
      <w:r>
        <w:rPr>
          <w:lang w:val="en-US"/>
        </w:rPr>
        <w:t xml:space="preserve">needs to standardize a comprehensive/complete set of UE capabilities based on which an eNB can unambiguously determine the features supported by a particular UE. </w:t>
      </w:r>
    </w:p>
    <w:p w14:paraId="2D7C6E94" w14:textId="2991338A" w:rsidR="005958C8" w:rsidRDefault="005958C8" w:rsidP="005958C8">
      <w:pPr>
        <w:pStyle w:val="Proposal"/>
        <w:rPr>
          <w:lang w:val="en-US"/>
        </w:rPr>
      </w:pPr>
      <w:bookmarkStart w:id="2" w:name="_Toc462411744"/>
      <w:bookmarkStart w:id="3" w:name="_Toc462931586"/>
      <w:bookmarkStart w:id="4" w:name="_Toc462931792"/>
      <w:bookmarkStart w:id="5" w:name="_Toc463037535"/>
      <w:bookmarkStart w:id="6" w:name="_Toc463037623"/>
      <w:r>
        <w:rPr>
          <w:lang w:val="en-US"/>
        </w:rPr>
        <w:t xml:space="preserve">Following the principles of LTE, </w:t>
      </w:r>
      <w:r w:rsidRPr="005958C8">
        <w:rPr>
          <w:lang w:val="en-US"/>
        </w:rPr>
        <w:t>RAN2 standardize</w:t>
      </w:r>
      <w:r>
        <w:rPr>
          <w:lang w:val="en-US"/>
        </w:rPr>
        <w:t>s</w:t>
      </w:r>
      <w:r w:rsidRPr="005958C8">
        <w:rPr>
          <w:lang w:val="en-US"/>
        </w:rPr>
        <w:t xml:space="preserve"> a comprehensive/complete set of UE capabilities based on which an eNB can unambiguously determine the features supported by a particular UE</w:t>
      </w:r>
      <w:r>
        <w:rPr>
          <w:lang w:val="en-US"/>
        </w:rPr>
        <w:t>.</w:t>
      </w:r>
      <w:bookmarkEnd w:id="2"/>
      <w:bookmarkEnd w:id="3"/>
      <w:bookmarkEnd w:id="4"/>
      <w:bookmarkEnd w:id="5"/>
      <w:bookmarkEnd w:id="6"/>
    </w:p>
    <w:p w14:paraId="63894021" w14:textId="00CEBE73" w:rsidR="008F53C5" w:rsidRDefault="008F53C5" w:rsidP="008F53C5">
      <w:pPr>
        <w:pStyle w:val="Heading2"/>
        <w:rPr>
          <w:lang w:val="en-US"/>
        </w:rPr>
      </w:pPr>
      <w:r>
        <w:rPr>
          <w:lang w:val="en-US"/>
        </w:rPr>
        <w:t>Testability</w:t>
      </w:r>
    </w:p>
    <w:p w14:paraId="7CDF58A4" w14:textId="41103A9F" w:rsidR="00BB7961" w:rsidRDefault="005E3309" w:rsidP="00332A77">
      <w:pPr>
        <w:rPr>
          <w:lang w:val="en-US"/>
        </w:rPr>
      </w:pPr>
      <w:r>
        <w:rPr>
          <w:lang w:val="en-US"/>
        </w:rPr>
        <w:t xml:space="preserve">Testability is a key strength of 3GPP systems. The established practice that UE vendors indicate support for a feature only after having successfully tested it with at least two networks led to stable systems and should be continued in this manner: </w:t>
      </w:r>
    </w:p>
    <w:p w14:paraId="23941BAD" w14:textId="10BC3CA6" w:rsidR="00BB7961" w:rsidRDefault="00BB7961" w:rsidP="00BB7961">
      <w:pPr>
        <w:pStyle w:val="Proposal"/>
        <w:rPr>
          <w:lang w:val="en-US"/>
        </w:rPr>
      </w:pPr>
      <w:bookmarkStart w:id="7" w:name="_Toc462411745"/>
      <w:bookmarkStart w:id="8" w:name="_Toc462931587"/>
      <w:bookmarkStart w:id="9" w:name="_Toc462931793"/>
      <w:bookmarkStart w:id="10" w:name="_Toc463037536"/>
      <w:bookmarkStart w:id="11" w:name="_Toc463037624"/>
      <w:r>
        <w:rPr>
          <w:lang w:val="en-US"/>
        </w:rPr>
        <w:t>In its capability signaling the UE indicates support for features that have been implemented and properly tested</w:t>
      </w:r>
      <w:bookmarkEnd w:id="7"/>
      <w:r w:rsidR="004A0B28">
        <w:rPr>
          <w:lang w:val="en-US"/>
        </w:rPr>
        <w:t>.</w:t>
      </w:r>
      <w:bookmarkEnd w:id="8"/>
      <w:bookmarkEnd w:id="9"/>
      <w:bookmarkEnd w:id="10"/>
      <w:bookmarkEnd w:id="11"/>
    </w:p>
    <w:p w14:paraId="21A7BB56" w14:textId="2F1569D1" w:rsidR="008F53C5" w:rsidRDefault="008F53C5" w:rsidP="008F53C5">
      <w:pPr>
        <w:pStyle w:val="Heading2"/>
        <w:rPr>
          <w:lang w:val="en-US"/>
        </w:rPr>
      </w:pPr>
      <w:r>
        <w:rPr>
          <w:lang w:val="en-US"/>
        </w:rPr>
        <w:lastRenderedPageBreak/>
        <w:t xml:space="preserve">Configuration in-line with UE Capabilities </w:t>
      </w:r>
    </w:p>
    <w:p w14:paraId="2E1353C4" w14:textId="508862F3" w:rsidR="0080498C" w:rsidRDefault="0080498C" w:rsidP="0080498C">
      <w:pPr>
        <w:rPr>
          <w:lang w:val="en-US"/>
        </w:rPr>
      </w:pPr>
      <w:r>
        <w:rPr>
          <w:lang w:val="en-US"/>
        </w:rPr>
        <w:t>Another key paradigm of LTE is that the network shall configure the UE in-line with the indicated capabilities. If it attempts to apply a configuration for which the UE has not indicated support, the UE may (and likely will) reject the configuration. On the other hand, if an RRCConnectionReconfiguration is compliant with the UE capabilities, the UE shall not reject it. We think that this principle ensures efficient interworking between UE and network and should hence be maintained:</w:t>
      </w:r>
    </w:p>
    <w:p w14:paraId="1757D0D5" w14:textId="77777777" w:rsidR="0080498C" w:rsidRDefault="0080498C" w:rsidP="0080498C">
      <w:pPr>
        <w:pStyle w:val="Proposal"/>
        <w:rPr>
          <w:lang w:val="en-US"/>
        </w:rPr>
      </w:pPr>
      <w:bookmarkStart w:id="12" w:name="_Toc462411746"/>
      <w:bookmarkStart w:id="13" w:name="_Toc462931588"/>
      <w:bookmarkStart w:id="14" w:name="_Toc462931794"/>
      <w:bookmarkStart w:id="15" w:name="_Toc463037537"/>
      <w:bookmarkStart w:id="16" w:name="_Toc463037625"/>
      <w:r>
        <w:rPr>
          <w:lang w:val="en-US"/>
        </w:rPr>
        <w:t>The network configures and reconfigures the UE in accordance with the capabilities indicated by the UE. The UE shall not reject a configuration that is within the limits defined by the UE capabilities.</w:t>
      </w:r>
      <w:bookmarkEnd w:id="12"/>
      <w:bookmarkEnd w:id="13"/>
      <w:bookmarkEnd w:id="14"/>
      <w:bookmarkEnd w:id="15"/>
      <w:bookmarkEnd w:id="16"/>
      <w:r>
        <w:rPr>
          <w:lang w:val="en-US"/>
        </w:rPr>
        <w:t xml:space="preserve"> </w:t>
      </w:r>
    </w:p>
    <w:p w14:paraId="564A5CEE" w14:textId="45B09097" w:rsidR="008F53C5" w:rsidRDefault="008F53C5" w:rsidP="008F53C5">
      <w:pPr>
        <w:pStyle w:val="Heading2"/>
        <w:rPr>
          <w:lang w:val="en-US"/>
        </w:rPr>
      </w:pPr>
      <w:r>
        <w:rPr>
          <w:lang w:val="en-US"/>
        </w:rPr>
        <w:t>Dynamic vs. Static UE capabilities</w:t>
      </w:r>
    </w:p>
    <w:p w14:paraId="62F99C64" w14:textId="18C1D7CF" w:rsidR="00D03CE2" w:rsidRDefault="00C042B7" w:rsidP="007A7B35">
      <w:pPr>
        <w:rPr>
          <w:lang w:val="en-US"/>
        </w:rPr>
      </w:pPr>
      <w:r>
        <w:rPr>
          <w:lang w:val="en-US"/>
        </w:rPr>
        <w:t xml:space="preserve">An LTE or UMTS network performs Radio Resource Management (RRM) and configures UEs in a way that maximizes performance (throughput, data rate, latency, energy consumption, …) both from system- and end-user perspective. To do so, the network needs to be aware of the capabilities of each UE. In LTE the UE is not able to change its capabilities (except by transition through DETACH/ATTACH). This principle avoids additional signaling but, much more importantly, it </w:t>
      </w:r>
      <w:r w:rsidR="00443E2D">
        <w:rPr>
          <w:lang w:val="en-US"/>
        </w:rPr>
        <w:t xml:space="preserve">suits the design choice </w:t>
      </w:r>
      <w:r>
        <w:rPr>
          <w:lang w:val="en-US"/>
        </w:rPr>
        <w:t xml:space="preserve">that </w:t>
      </w:r>
      <w:r w:rsidR="00443E2D">
        <w:rPr>
          <w:lang w:val="en-US"/>
        </w:rPr>
        <w:t>Radio Resource Management (</w:t>
      </w:r>
      <w:r>
        <w:rPr>
          <w:lang w:val="en-US"/>
        </w:rPr>
        <w:t>RRM</w:t>
      </w:r>
      <w:r w:rsidR="00443E2D">
        <w:rPr>
          <w:lang w:val="en-US"/>
        </w:rPr>
        <w:t>)</w:t>
      </w:r>
      <w:r>
        <w:rPr>
          <w:lang w:val="en-US"/>
        </w:rPr>
        <w:t xml:space="preserve"> is performed by one entity only, i.e., by the network</w:t>
      </w:r>
      <w:r w:rsidR="00443E2D">
        <w:rPr>
          <w:lang w:val="en-US"/>
        </w:rPr>
        <w:t xml:space="preserve">. To perform this task, the network maintains an overall view of the network, of the connected UEs, their radio conditions and their capabilities. </w:t>
      </w:r>
      <w:r>
        <w:rPr>
          <w:lang w:val="en-US"/>
        </w:rPr>
        <w:t>If a UE was able to adjust its capabilities (e.g. by indicating or withdrawing support for certain bands),</w:t>
      </w:r>
      <w:r w:rsidR="004A0B28">
        <w:rPr>
          <w:lang w:val="en-US"/>
        </w:rPr>
        <w:t xml:space="preserve"> it would turn into a </w:t>
      </w:r>
      <w:r w:rsidR="00487A4D">
        <w:rPr>
          <w:lang w:val="en-US"/>
        </w:rPr>
        <w:t xml:space="preserve">negotiation between </w:t>
      </w:r>
      <w:r w:rsidR="004A0B28">
        <w:rPr>
          <w:lang w:val="en-US"/>
        </w:rPr>
        <w:t>network</w:t>
      </w:r>
      <w:r w:rsidR="00487A4D">
        <w:rPr>
          <w:lang w:val="en-US"/>
        </w:rPr>
        <w:t xml:space="preserve"> and</w:t>
      </w:r>
      <w:r w:rsidR="004A0B28">
        <w:rPr>
          <w:lang w:val="en-US"/>
        </w:rPr>
        <w:t xml:space="preserve"> UE</w:t>
      </w:r>
      <w:r w:rsidR="00487A4D">
        <w:rPr>
          <w:lang w:val="en-US"/>
        </w:rPr>
        <w:t xml:space="preserve">, which would increase Uu signaling load and may counteract </w:t>
      </w:r>
      <w:r w:rsidR="007D2F64">
        <w:rPr>
          <w:lang w:val="en-US"/>
        </w:rPr>
        <w:t>RRM</w:t>
      </w:r>
      <w:r w:rsidR="0080498C">
        <w:rPr>
          <w:lang w:val="en-US"/>
        </w:rPr>
        <w:t xml:space="preserve"> actions initiated by the ne</w:t>
      </w:r>
      <w:r w:rsidR="00487A4D">
        <w:rPr>
          <w:lang w:val="en-US"/>
        </w:rPr>
        <w:t>twork</w:t>
      </w:r>
      <w:r w:rsidR="0080498C">
        <w:rPr>
          <w:lang w:val="en-US"/>
        </w:rPr>
        <w:t xml:space="preserve">. </w:t>
      </w:r>
    </w:p>
    <w:p w14:paraId="44297B4A" w14:textId="3FC7DDB1" w:rsidR="00D03CE2" w:rsidRDefault="00D03CE2" w:rsidP="00D03CE2">
      <w:pPr>
        <w:pStyle w:val="Proposal"/>
        <w:rPr>
          <w:lang w:val="en-US"/>
        </w:rPr>
      </w:pPr>
      <w:bookmarkStart w:id="17" w:name="_Toc462411747"/>
      <w:bookmarkStart w:id="18" w:name="_Toc462931589"/>
      <w:bookmarkStart w:id="19" w:name="_Toc462931795"/>
      <w:bookmarkStart w:id="20" w:name="_Toc463037538"/>
      <w:bookmarkStart w:id="21" w:name="_Toc463037626"/>
      <w:r>
        <w:rPr>
          <w:lang w:val="en-US"/>
        </w:rPr>
        <w:t>The complete set of UE capabilities shall be static, i.e., the UE must not change its capabilities except during DETACH/ATTACH.</w:t>
      </w:r>
      <w:bookmarkEnd w:id="17"/>
      <w:bookmarkEnd w:id="18"/>
      <w:bookmarkEnd w:id="19"/>
      <w:bookmarkEnd w:id="20"/>
      <w:bookmarkEnd w:id="21"/>
    </w:p>
    <w:p w14:paraId="55202279" w14:textId="4E4374EB" w:rsidR="00D03CE2" w:rsidRDefault="00D03CE2" w:rsidP="00D03CE2">
      <w:pPr>
        <w:rPr>
          <w:lang w:val="en-US"/>
        </w:rPr>
      </w:pPr>
      <w:r>
        <w:rPr>
          <w:lang w:val="en-US"/>
        </w:rPr>
        <w:t>Nevertheless, we also understand UE vendors’ dilemma that a UE cannot fulfil its “usual” capabilities in certain situations</w:t>
      </w:r>
      <w:r w:rsidR="00AC7381">
        <w:rPr>
          <w:lang w:val="en-US"/>
        </w:rPr>
        <w:t>. Those could be temporary problems such as an overheating</w:t>
      </w:r>
      <w:r>
        <w:rPr>
          <w:lang w:val="en-US"/>
        </w:rPr>
        <w:t xml:space="preserve"> CPU</w:t>
      </w:r>
      <w:r w:rsidR="00487A4D">
        <w:rPr>
          <w:lang w:val="en-US"/>
        </w:rPr>
        <w:t>, which could to some extent be handled internally in the UE by temporary dropping of performance</w:t>
      </w:r>
      <w:r>
        <w:rPr>
          <w:lang w:val="en-US"/>
        </w:rPr>
        <w:t xml:space="preserve">. </w:t>
      </w:r>
      <w:r w:rsidR="00AC7381">
        <w:rPr>
          <w:lang w:val="en-US"/>
        </w:rPr>
        <w:t xml:space="preserve">But it could also be due to the desire to share a radio front-end or other components with another RAT (e.g. Wi-Fi). While the former would likely be a rare event, the latter could appear often and possibly change quite dynamically. While we are open to discuss and agree on general means to (temporarily) deviate from the UE capabilities, we see a need </w:t>
      </w:r>
      <w:r w:rsidR="003867CD">
        <w:rPr>
          <w:lang w:val="en-US"/>
        </w:rPr>
        <w:t xml:space="preserve">for </w:t>
      </w:r>
      <w:r w:rsidR="00AC7381">
        <w:rPr>
          <w:lang w:val="en-US"/>
        </w:rPr>
        <w:t xml:space="preserve">restrictions to avoid that it results in unbearable signaling </w:t>
      </w:r>
      <w:r w:rsidR="00053884">
        <w:rPr>
          <w:lang w:val="en-US"/>
        </w:rPr>
        <w:t>and processing load (frequent reconfigurations), poor RRM performance and poor network KPIs.</w:t>
      </w:r>
    </w:p>
    <w:p w14:paraId="3ABE6570" w14:textId="0D39DF0B" w:rsidR="00053884" w:rsidRPr="003867CD" w:rsidRDefault="00053884" w:rsidP="00D03CE2">
      <w:r>
        <w:rPr>
          <w:lang w:val="en-US"/>
        </w:rPr>
        <w:t xml:space="preserve">In LTE, the concept of In-Device Coexistence (IDC) has been used to indicate certain limitations and restrictions due to radio problems caused by interference from adjacent carriers (e.g. Wi-Fi </w:t>
      </w:r>
      <w:r w:rsidRPr="00053884">
        <w:rPr>
          <w:lang w:val="en-US"/>
        </w:rPr>
        <w:sym w:font="Wingdings" w:char="F0E8"/>
      </w:r>
      <w:r>
        <w:rPr>
          <w:lang w:val="en-US"/>
        </w:rPr>
        <w:t xml:space="preserve"> Band 40). But it was later also allowed to be used for indicating problems when LTE-LAA and Wi-Fi were sharing a radio front-end. Instead of such a scheme, RAN2 could also consider merging such functionality into the capability signaling framework (e.g. indicate that temporarily a certain Band or Band Combination may not be used). While this may be useful for a shared RF (Wi-Fi and NR in 5GHz), it seems less appropriate for cases where e.g. only a subset of the carriers in a band are currently unusable</w:t>
      </w:r>
      <w:r w:rsidR="003867CD">
        <w:rPr>
          <w:lang w:val="en-US"/>
        </w:rPr>
        <w:t xml:space="preserve"> (if e.g. only the upper 40 MHz in Band 40 being interfered by a Wi-Fi operating in the adjacent ISM band)</w:t>
      </w:r>
      <w:r>
        <w:rPr>
          <w:lang w:val="en-US"/>
        </w:rPr>
        <w:t xml:space="preserve">. </w:t>
      </w:r>
    </w:p>
    <w:p w14:paraId="7C402D91" w14:textId="53A5F83A" w:rsidR="00D03CE2" w:rsidRDefault="00D03CE2" w:rsidP="00D03CE2">
      <w:pPr>
        <w:pStyle w:val="Proposal"/>
        <w:rPr>
          <w:lang w:val="en-US"/>
        </w:rPr>
      </w:pPr>
      <w:bookmarkStart w:id="22" w:name="_Toc462411748"/>
      <w:bookmarkStart w:id="23" w:name="_Toc462931590"/>
      <w:bookmarkStart w:id="24" w:name="_Toc462931796"/>
      <w:bookmarkStart w:id="25" w:name="_Toc463037539"/>
      <w:bookmarkStart w:id="26" w:name="_Toc463037627"/>
      <w:r>
        <w:rPr>
          <w:lang w:val="en-US"/>
        </w:rPr>
        <w:t xml:space="preserve">It should be investigated </w:t>
      </w:r>
      <w:r w:rsidR="00053884">
        <w:rPr>
          <w:lang w:val="en-US"/>
        </w:rPr>
        <w:t xml:space="preserve">how </w:t>
      </w:r>
      <w:r>
        <w:rPr>
          <w:lang w:val="en-US"/>
        </w:rPr>
        <w:t xml:space="preserve">a UE may </w:t>
      </w:r>
      <w:r w:rsidR="00053884">
        <w:rPr>
          <w:lang w:val="en-US"/>
        </w:rPr>
        <w:t xml:space="preserve">indicate (temporary) </w:t>
      </w:r>
      <w:r>
        <w:rPr>
          <w:lang w:val="en-US"/>
        </w:rPr>
        <w:t>restrict</w:t>
      </w:r>
      <w:r w:rsidR="00053884">
        <w:rPr>
          <w:lang w:val="en-US"/>
        </w:rPr>
        <w:t>ions of</w:t>
      </w:r>
      <w:r>
        <w:rPr>
          <w:lang w:val="en-US"/>
        </w:rPr>
        <w:t xml:space="preserve"> its capabilities </w:t>
      </w:r>
      <w:r w:rsidR="00053884">
        <w:rPr>
          <w:lang w:val="en-US"/>
        </w:rPr>
        <w:t>(to account e.g. for an overloaded/overheated CPU or constraints due to other active RATs) without harming user- and network performance and stability.</w:t>
      </w:r>
      <w:bookmarkEnd w:id="22"/>
      <w:bookmarkEnd w:id="23"/>
      <w:bookmarkEnd w:id="24"/>
      <w:bookmarkEnd w:id="25"/>
      <w:bookmarkEnd w:id="26"/>
    </w:p>
    <w:p w14:paraId="00B35315" w14:textId="6BD28D6A" w:rsidR="008F53C5" w:rsidRDefault="008F53C5" w:rsidP="008F53C5">
      <w:pPr>
        <w:pStyle w:val="Heading2"/>
        <w:rPr>
          <w:lang w:val="en-US"/>
        </w:rPr>
      </w:pPr>
      <w:r>
        <w:rPr>
          <w:lang w:val="en-US"/>
        </w:rPr>
        <w:t>Reducing the size of the UE capability structure</w:t>
      </w:r>
    </w:p>
    <w:p w14:paraId="44516B97" w14:textId="37948479" w:rsidR="00D6542E" w:rsidRDefault="00245F45" w:rsidP="007A7B35">
      <w:pPr>
        <w:rPr>
          <w:lang w:val="en-US"/>
        </w:rPr>
      </w:pPr>
      <w:r>
        <w:rPr>
          <w:lang w:val="en-US"/>
        </w:rPr>
        <w:t xml:space="preserve">Besides all these benefits of the well-established capability handling in 3GPP technologies, in particular the LTE capability signaling suffers from the ever increasing size of the information elements. This may to some extent be caused by the design of the signaling structure for carrier aggregation. But recent attempts to make the signaling more efficient revealed that it is difficult to achieve that without also compromising on the flexibility and granularity at which UEs can indicate their feature sets. </w:t>
      </w:r>
      <w:r w:rsidR="00D6542E">
        <w:rPr>
          <w:lang w:val="en-US"/>
        </w:rPr>
        <w:t xml:space="preserve">In </w:t>
      </w:r>
      <w:r w:rsidR="00D6542E">
        <w:rPr>
          <w:lang w:val="en-US"/>
        </w:rPr>
        <w:fldChar w:fldCharType="begin"/>
      </w:r>
      <w:r w:rsidR="00D6542E">
        <w:rPr>
          <w:lang w:val="en-US"/>
        </w:rPr>
        <w:instrText xml:space="preserve"> REF _Ref462409765 \n \h </w:instrText>
      </w:r>
      <w:r w:rsidR="00D6542E">
        <w:rPr>
          <w:lang w:val="en-US"/>
        </w:rPr>
      </w:r>
      <w:r w:rsidR="00D6542E">
        <w:rPr>
          <w:lang w:val="en-US"/>
        </w:rPr>
        <w:fldChar w:fldCharType="separate"/>
      </w:r>
      <w:r w:rsidR="007D2F64">
        <w:rPr>
          <w:lang w:val="en-US"/>
        </w:rPr>
        <w:t>[1]</w:t>
      </w:r>
      <w:r w:rsidR="00D6542E">
        <w:rPr>
          <w:lang w:val="en-US"/>
        </w:rPr>
        <w:fldChar w:fldCharType="end"/>
      </w:r>
      <w:r w:rsidR="00D6542E">
        <w:rPr>
          <w:lang w:val="en-US"/>
        </w:rPr>
        <w:t xml:space="preserve"> we proposed for example to separate</w:t>
      </w:r>
      <w:r w:rsidR="00D6542E" w:rsidRPr="00D6542E">
        <w:rPr>
          <w:lang w:val="en-US"/>
        </w:rPr>
        <w:t xml:space="preserve"> </w:t>
      </w:r>
      <w:r w:rsidR="00D6542E">
        <w:rPr>
          <w:lang w:val="en-US"/>
        </w:rPr>
        <w:t xml:space="preserve">the UE capabilities </w:t>
      </w:r>
      <w:r w:rsidR="00D6542E" w:rsidRPr="00D6542E">
        <w:rPr>
          <w:lang w:val="en-US"/>
        </w:rPr>
        <w:t>from the band combinations as much as possible</w:t>
      </w:r>
      <w:r w:rsidR="00D6542E">
        <w:rPr>
          <w:lang w:val="en-US"/>
        </w:rPr>
        <w:t xml:space="preserve"> and to make them (if necessary) dependent on </w:t>
      </w:r>
      <w:r w:rsidR="00D6542E" w:rsidRPr="00D6542E">
        <w:rPr>
          <w:lang w:val="en-US"/>
        </w:rPr>
        <w:t>RF and baseband capabilities</w:t>
      </w:r>
      <w:r w:rsidR="00D6542E">
        <w:rPr>
          <w:lang w:val="en-US"/>
        </w:rPr>
        <w:t xml:space="preserve">. This should apply in particular for MIMO and CSI-Process </w:t>
      </w:r>
      <w:r w:rsidR="00F229EC">
        <w:rPr>
          <w:lang w:val="en-US"/>
        </w:rPr>
        <w:t>capabilities, which</w:t>
      </w:r>
      <w:r w:rsidR="00D6542E">
        <w:rPr>
          <w:lang w:val="en-US"/>
        </w:rPr>
        <w:t xml:space="preserve"> so far contribute significantly to the size of the capability structure. </w:t>
      </w:r>
    </w:p>
    <w:p w14:paraId="3296C103" w14:textId="4B2C4FEE" w:rsidR="00D6542E" w:rsidRDefault="00D6542E" w:rsidP="00D6542E">
      <w:pPr>
        <w:pStyle w:val="Proposal"/>
        <w:rPr>
          <w:lang w:val="en-US"/>
        </w:rPr>
      </w:pPr>
      <w:bookmarkStart w:id="27" w:name="_Toc462411749"/>
      <w:bookmarkStart w:id="28" w:name="_Toc462931591"/>
      <w:bookmarkStart w:id="29" w:name="_Toc462931797"/>
      <w:bookmarkStart w:id="30" w:name="_Toc463037540"/>
      <w:bookmarkStart w:id="31" w:name="_Toc463037628"/>
      <w:r>
        <w:rPr>
          <w:lang w:val="en-US"/>
        </w:rPr>
        <w:t xml:space="preserve">RAN2 should aim to reduce the size of the capability structure compared to that of LTE. RAN2 should for example consider reducing the number of capabilities repeated per </w:t>
      </w:r>
      <w:r>
        <w:rPr>
          <w:lang w:val="en-US"/>
        </w:rPr>
        <w:lastRenderedPageBreak/>
        <w:t>the band combination</w:t>
      </w:r>
      <w:r w:rsidR="008F53C5">
        <w:rPr>
          <w:lang w:val="en-US"/>
        </w:rPr>
        <w:t xml:space="preserve"> and rather indicate for which bands they may be used (RF restriction) and in combination with which other features (processing limitation).</w:t>
      </w:r>
      <w:bookmarkEnd w:id="27"/>
      <w:bookmarkEnd w:id="28"/>
      <w:bookmarkEnd w:id="29"/>
      <w:bookmarkEnd w:id="30"/>
      <w:bookmarkEnd w:id="31"/>
      <w:r w:rsidR="008F53C5">
        <w:rPr>
          <w:lang w:val="en-US"/>
        </w:rPr>
        <w:t xml:space="preserve"> </w:t>
      </w:r>
    </w:p>
    <w:p w14:paraId="77C504F4" w14:textId="0BBB180B" w:rsidR="00245F45" w:rsidRDefault="008F53C5" w:rsidP="007A7B35">
      <w:pPr>
        <w:rPr>
          <w:lang w:val="en-US"/>
        </w:rPr>
      </w:pPr>
      <w:r>
        <w:rPr>
          <w:lang w:val="en-US"/>
        </w:rPr>
        <w:t>Since this is not an easy discussion, RAN2 should proceed with it throughout the study- and work item phase</w:t>
      </w:r>
      <w:r w:rsidR="00F229EC">
        <w:rPr>
          <w:lang w:val="en-US"/>
        </w:rPr>
        <w:t xml:space="preserve"> rather than p</w:t>
      </w:r>
      <w:r>
        <w:rPr>
          <w:lang w:val="en-US"/>
        </w:rPr>
        <w:t xml:space="preserve">ostponing </w:t>
      </w:r>
      <w:r w:rsidR="00F229EC">
        <w:rPr>
          <w:lang w:val="en-US"/>
        </w:rPr>
        <w:t xml:space="preserve">this important task to </w:t>
      </w:r>
      <w:r>
        <w:rPr>
          <w:lang w:val="en-US"/>
        </w:rPr>
        <w:t xml:space="preserve">the </w:t>
      </w:r>
      <w:r w:rsidR="00F229EC">
        <w:rPr>
          <w:lang w:val="en-US"/>
        </w:rPr>
        <w:t xml:space="preserve">very </w:t>
      </w:r>
      <w:r>
        <w:rPr>
          <w:lang w:val="en-US"/>
        </w:rPr>
        <w:t xml:space="preserve">end of the work item. </w:t>
      </w:r>
    </w:p>
    <w:p w14:paraId="2699F249" w14:textId="450CD04B" w:rsidR="008F53C5" w:rsidRDefault="00B82D1D" w:rsidP="008F53C5">
      <w:pPr>
        <w:pStyle w:val="Heading2"/>
        <w:rPr>
          <w:lang w:val="en-US"/>
        </w:rPr>
      </w:pPr>
      <w:r>
        <w:rPr>
          <w:lang w:val="en-US"/>
        </w:rPr>
        <w:t>“</w:t>
      </w:r>
      <w:r w:rsidR="008F53C5">
        <w:rPr>
          <w:lang w:val="en-US"/>
        </w:rPr>
        <w:t>Compressing</w:t>
      </w:r>
      <w:r>
        <w:rPr>
          <w:lang w:val="en-US"/>
        </w:rPr>
        <w:t>”</w:t>
      </w:r>
      <w:r w:rsidR="008F53C5">
        <w:rPr>
          <w:lang w:val="en-US"/>
        </w:rPr>
        <w:t xml:space="preserve"> capability structure over Uu and in storage</w:t>
      </w:r>
    </w:p>
    <w:p w14:paraId="598E5FD2" w14:textId="12D98771" w:rsidR="008F53C5" w:rsidRDefault="008F53C5" w:rsidP="008F53C5">
      <w:pPr>
        <w:rPr>
          <w:lang w:val="en-US"/>
        </w:rPr>
      </w:pPr>
      <w:r>
        <w:rPr>
          <w:lang w:val="en-US"/>
        </w:rPr>
        <w:t xml:space="preserve">Irrespective of the enhancements made for the capability signaling structure, we foresee that it will anyway be of considerable size. In E-UTRA the eNB attempts to fetch the capabilities for a connecting UE from the MME. If the MME has not stored the capabilities for the UE, the eNB fetches them from the UE. While this reduces the signaling over the radio interface during (most/many) connection establishments, it anyway requires a lot of storage and transmission in the RAN and the CN. </w:t>
      </w:r>
    </w:p>
    <w:p w14:paraId="69B36EA1" w14:textId="778DF124" w:rsidR="008F53C5" w:rsidRDefault="008F53C5" w:rsidP="00BB7961">
      <w:pPr>
        <w:rPr>
          <w:lang w:val="en-US"/>
        </w:rPr>
      </w:pPr>
      <w:r>
        <w:rPr>
          <w:lang w:val="en-US"/>
        </w:rPr>
        <w:t xml:space="preserve">Even though all UEs of the same model and with the same software version support the same set of capabilities, E-UTRAN and EPC handle them as if they were UE specific. </w:t>
      </w:r>
      <w:r w:rsidR="000F4EC2">
        <w:rPr>
          <w:lang w:val="en-US"/>
        </w:rPr>
        <w:t xml:space="preserve">And since the RAN is not required/supposed to maintain any information about individual IDLE UEs, it must re-acquire the UE capabilities every time a UE connects. </w:t>
      </w:r>
    </w:p>
    <w:p w14:paraId="21A282AC" w14:textId="03651278" w:rsidR="000F4EC2" w:rsidRDefault="000F4EC2" w:rsidP="000F4EC2">
      <w:pPr>
        <w:pStyle w:val="Observation"/>
        <w:rPr>
          <w:lang w:val="en-US"/>
        </w:rPr>
      </w:pPr>
      <w:r>
        <w:rPr>
          <w:lang w:val="en-US"/>
        </w:rPr>
        <w:t>A</w:t>
      </w:r>
      <w:r w:rsidRPr="000F4EC2">
        <w:rPr>
          <w:lang w:val="en-US"/>
        </w:rPr>
        <w:t>ll UEs of the same model and with the same software version support the same set of capabilities</w:t>
      </w:r>
      <w:r>
        <w:rPr>
          <w:lang w:val="en-US"/>
        </w:rPr>
        <w:t>.</w:t>
      </w:r>
    </w:p>
    <w:p w14:paraId="7D77DDE0" w14:textId="3BDF6AE4" w:rsidR="000F4EC2" w:rsidRDefault="000F4EC2" w:rsidP="00BB7961">
      <w:pPr>
        <w:rPr>
          <w:lang w:val="en-US"/>
        </w:rPr>
      </w:pPr>
      <w:r>
        <w:rPr>
          <w:lang w:val="en-US"/>
        </w:rPr>
        <w:t>We therefore suggest that the RAN (and the CN) can identify UEs that support the same set of UE capabilities. Th</w:t>
      </w:r>
      <w:r w:rsidR="00A83D6A">
        <w:rPr>
          <w:lang w:val="en-US"/>
        </w:rPr>
        <w:t xml:space="preserve">is enables </w:t>
      </w:r>
      <w:r>
        <w:rPr>
          <w:lang w:val="en-US"/>
        </w:rPr>
        <w:t xml:space="preserve">RAN (and the CN) to store </w:t>
      </w:r>
      <w:r w:rsidR="00A83D6A">
        <w:rPr>
          <w:lang w:val="en-US"/>
        </w:rPr>
        <w:t xml:space="preserve">just </w:t>
      </w:r>
      <w:r>
        <w:rPr>
          <w:lang w:val="en-US"/>
        </w:rPr>
        <w:t xml:space="preserve">one set of capabilities for each “UE model” rather than one per individual device. </w:t>
      </w:r>
    </w:p>
    <w:p w14:paraId="57823792" w14:textId="5A181BEC" w:rsidR="000F4EC2" w:rsidRDefault="000F4EC2" w:rsidP="00BB7961">
      <w:pPr>
        <w:rPr>
          <w:lang w:val="en-US"/>
        </w:rPr>
      </w:pPr>
      <w:r>
        <w:rPr>
          <w:lang w:val="en-US"/>
        </w:rPr>
        <w:t>If the RAN (or the CN) is not aware of the capabilities of a UE that attempts to connect, the RAN (or the CN) could initially ask the CN (or the UE) for the “UE model” rather than for the entire capability structure. If either the RAN or the CN had previously served any such “UE model”, the actual UE capability set does not need to be transferred over the radio interface. We expect that after a few days after a new “UE model” has been introduced, at least most MMEs are aware of the mapping between the UE model (its ID) and the corresponding capabilities. Shortly afterwards even most eNBs will have a stored copy of the UE capabilities a</w:t>
      </w:r>
      <w:r w:rsidR="00A83D6A">
        <w:rPr>
          <w:lang w:val="en-US"/>
        </w:rPr>
        <w:t>t least for the most popular UE</w:t>
      </w:r>
      <w:r>
        <w:rPr>
          <w:lang w:val="en-US"/>
        </w:rPr>
        <w:t xml:space="preserve"> </w:t>
      </w:r>
      <w:r w:rsidR="00A83D6A">
        <w:rPr>
          <w:lang w:val="en-US"/>
        </w:rPr>
        <w:t>models</w:t>
      </w:r>
      <w:r>
        <w:rPr>
          <w:lang w:val="en-US"/>
        </w:rPr>
        <w:t xml:space="preserve">. </w:t>
      </w:r>
    </w:p>
    <w:p w14:paraId="6F4A1C69" w14:textId="1073594D" w:rsidR="000F4EC2" w:rsidRDefault="000F4EC2" w:rsidP="00BB7961">
      <w:pPr>
        <w:rPr>
          <w:lang w:val="en-US"/>
        </w:rPr>
      </w:pPr>
      <w:r>
        <w:rPr>
          <w:lang w:val="en-US"/>
        </w:rPr>
        <w:t xml:space="preserve">The “UE model” </w:t>
      </w:r>
      <w:r w:rsidR="00A83D6A">
        <w:rPr>
          <w:lang w:val="en-US"/>
        </w:rPr>
        <w:t xml:space="preserve">(hard- and software version) </w:t>
      </w:r>
      <w:r>
        <w:rPr>
          <w:lang w:val="en-US"/>
        </w:rPr>
        <w:t xml:space="preserve">could be indicated as an ID such as (or similar to) </w:t>
      </w:r>
      <w:r w:rsidR="00A83D6A">
        <w:rPr>
          <w:lang w:val="en-US"/>
        </w:rPr>
        <w:t xml:space="preserve">what is included in </w:t>
      </w:r>
      <w:r>
        <w:rPr>
          <w:lang w:val="en-US"/>
        </w:rPr>
        <w:t>IMEI-SV</w:t>
      </w:r>
      <w:r w:rsidR="00B82D1D">
        <w:rPr>
          <w:lang w:val="en-US"/>
        </w:rPr>
        <w:t xml:space="preserve">. In addition to the UE capability enquiry request, the eNB should have means to request only this </w:t>
      </w:r>
      <w:r w:rsidR="00A83D6A">
        <w:rPr>
          <w:lang w:val="en-US"/>
        </w:rPr>
        <w:t xml:space="preserve">UE model </w:t>
      </w:r>
      <w:r w:rsidR="00B82D1D">
        <w:rPr>
          <w:lang w:val="en-US"/>
        </w:rPr>
        <w:t xml:space="preserve">ID. Only if it does not have a stored copy of the corresponding full capabilities, it would need to request them from the CN or from the UE. </w:t>
      </w:r>
    </w:p>
    <w:p w14:paraId="408CB6FB" w14:textId="77777777" w:rsidR="00B82D1D" w:rsidRDefault="00B82D1D" w:rsidP="00BB7961">
      <w:pPr>
        <w:rPr>
          <w:lang w:val="en-US"/>
        </w:rPr>
      </w:pPr>
      <w:r>
        <w:rPr>
          <w:lang w:val="en-US"/>
        </w:rPr>
        <w:t xml:space="preserve">If the effort of maintaining an ID space (such as IMEI-SV) is considered undesirable, RAN2 could alternatively define a hash function, which the UE applies to the full set of capabilities in order to generate the above-mentioned ID. However, we consider this a stage-3 detail that does not need to be discussed or agreed right now. </w:t>
      </w:r>
    </w:p>
    <w:p w14:paraId="3EF0596F" w14:textId="333E4DED" w:rsidR="00BB7961" w:rsidRPr="00BB7961" w:rsidRDefault="00B82D1D" w:rsidP="00B82D1D">
      <w:pPr>
        <w:pStyle w:val="Proposal"/>
        <w:rPr>
          <w:lang w:val="en-US"/>
        </w:rPr>
      </w:pPr>
      <w:bookmarkStart w:id="32" w:name="_Toc462411750"/>
      <w:bookmarkStart w:id="33" w:name="_Toc462931592"/>
      <w:bookmarkStart w:id="34" w:name="_Toc462931798"/>
      <w:bookmarkStart w:id="35" w:name="_Toc463037541"/>
      <w:bookmarkStart w:id="36" w:name="_Toc463037629"/>
      <w:r>
        <w:rPr>
          <w:lang w:val="en-US"/>
        </w:rPr>
        <w:t xml:space="preserve">Upon request from the RAN, the UE provides only a short identifier </w:t>
      </w:r>
      <w:r w:rsidR="00E62610">
        <w:rPr>
          <w:lang w:val="en-US"/>
        </w:rPr>
        <w:t xml:space="preserve">(model ID) </w:t>
      </w:r>
      <w:r>
        <w:rPr>
          <w:lang w:val="en-US"/>
        </w:rPr>
        <w:t xml:space="preserve">that unambiguously identifies the corresponding full set of UE capabilities but not the UE itself. If the RAN is not aware of this full set of capabilities corresponding to the received </w:t>
      </w:r>
      <w:r w:rsidR="00E62610">
        <w:rPr>
          <w:lang w:val="en-US"/>
        </w:rPr>
        <w:t xml:space="preserve">model </w:t>
      </w:r>
      <w:r>
        <w:rPr>
          <w:lang w:val="en-US"/>
        </w:rPr>
        <w:t xml:space="preserve">ID, it may either request it from the CN or from the UE. Preferably, the RAN and the CN store the full capability sets in combination with the </w:t>
      </w:r>
      <w:r w:rsidR="00E62610">
        <w:rPr>
          <w:lang w:val="en-US"/>
        </w:rPr>
        <w:t xml:space="preserve">model </w:t>
      </w:r>
      <w:r>
        <w:rPr>
          <w:lang w:val="en-US"/>
        </w:rPr>
        <w:t>IDs.</w:t>
      </w:r>
      <w:bookmarkEnd w:id="32"/>
      <w:bookmarkEnd w:id="33"/>
      <w:bookmarkEnd w:id="34"/>
      <w:bookmarkEnd w:id="35"/>
      <w:bookmarkEnd w:id="36"/>
      <w:r>
        <w:rPr>
          <w:lang w:val="en-US"/>
        </w:rPr>
        <w:t xml:space="preserve"> </w:t>
      </w:r>
    </w:p>
    <w:p w14:paraId="55A141CC" w14:textId="4454ECFE" w:rsidR="004141DD" w:rsidRDefault="004141DD" w:rsidP="004141DD">
      <w:pPr>
        <w:pStyle w:val="Heading1"/>
        <w:rPr>
          <w:lang w:val="en-US"/>
        </w:rPr>
      </w:pPr>
      <w:r w:rsidRPr="00332A77">
        <w:rPr>
          <w:lang w:val="en-US"/>
        </w:rPr>
        <w:t>Conclusion</w:t>
      </w:r>
    </w:p>
    <w:p w14:paraId="2F64177B" w14:textId="77777777" w:rsidR="007D2F64" w:rsidRDefault="002361BB" w:rsidP="002361BB">
      <w:pPr>
        <w:pStyle w:val="BodyText"/>
        <w:rPr>
          <w:noProof/>
        </w:rPr>
      </w:pPr>
      <w:r w:rsidRPr="00CE0424">
        <w:t>Based on the discussion in section</w:t>
      </w:r>
      <w:r w:rsidR="00B82D1D">
        <w:t xml:space="preserve"> </w:t>
      </w:r>
      <w:r w:rsidR="00B82D1D">
        <w:fldChar w:fldCharType="begin"/>
      </w:r>
      <w:r w:rsidR="00B82D1D">
        <w:instrText xml:space="preserve"> REF _Ref462411760 \n \h </w:instrText>
      </w:r>
      <w:r w:rsidR="00B82D1D">
        <w:fldChar w:fldCharType="separate"/>
      </w:r>
      <w:r w:rsidR="007D2F64">
        <w:t>2</w:t>
      </w:r>
      <w:r w:rsidR="00B82D1D">
        <w:fldChar w:fldCharType="end"/>
      </w:r>
      <w:r w:rsidRPr="00CE0424">
        <w:t xml:space="preserve"> we propose the following:</w:t>
      </w:r>
      <w:r>
        <w:rPr>
          <w:b/>
          <w:bCs/>
        </w:rPr>
        <w:fldChar w:fldCharType="begin"/>
      </w:r>
      <w:r>
        <w:rPr>
          <w:b/>
          <w:bCs/>
        </w:rPr>
        <w:instrText xml:space="preserve"> TOC \f \n \p " " \t "Proposal;1" </w:instrText>
      </w:r>
      <w:r>
        <w:rPr>
          <w:b/>
          <w:bCs/>
        </w:rPr>
        <w:fldChar w:fldCharType="separate"/>
      </w:r>
    </w:p>
    <w:p w14:paraId="2DE5A3AD" w14:textId="77777777" w:rsidR="007D2F64" w:rsidRPr="007D2F64" w:rsidRDefault="007D2F64">
      <w:pPr>
        <w:pStyle w:val="TOC1"/>
        <w:rPr>
          <w:rFonts w:asciiTheme="minorHAnsi" w:eastAsiaTheme="minorEastAsia" w:hAnsiTheme="minorHAnsi" w:cstheme="minorBidi"/>
          <w:b w:val="0"/>
          <w:sz w:val="22"/>
          <w:lang w:val="en-GB" w:eastAsia="fi-FI"/>
        </w:rPr>
      </w:pPr>
      <w:r w:rsidRPr="00981C2D">
        <w:lastRenderedPageBreak/>
        <w:t>Proposal 1</w:t>
      </w:r>
      <w:r w:rsidRPr="007D2F64">
        <w:rPr>
          <w:rFonts w:asciiTheme="minorHAnsi" w:eastAsiaTheme="minorEastAsia" w:hAnsiTheme="minorHAnsi" w:cstheme="minorBidi"/>
          <w:b w:val="0"/>
          <w:sz w:val="22"/>
          <w:lang w:val="en-GB" w:eastAsia="fi-FI"/>
        </w:rPr>
        <w:tab/>
      </w:r>
      <w:r w:rsidRPr="00981C2D">
        <w:t>Following the principles of LTE, RAN2 standardizes a comprehensive/complete set of UE capabilities based on which an eNB can unambiguously determine the features supported by a particular UE.</w:t>
      </w:r>
    </w:p>
    <w:p w14:paraId="5DC4DD17"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2</w:t>
      </w:r>
      <w:r w:rsidRPr="007D2F64">
        <w:rPr>
          <w:rFonts w:asciiTheme="minorHAnsi" w:eastAsiaTheme="minorEastAsia" w:hAnsiTheme="minorHAnsi" w:cstheme="minorBidi"/>
          <w:b w:val="0"/>
          <w:sz w:val="22"/>
          <w:lang w:val="en-GB" w:eastAsia="fi-FI"/>
        </w:rPr>
        <w:tab/>
      </w:r>
      <w:r w:rsidRPr="00981C2D">
        <w:t>In its capability signaling the UE indicates support for features that have been implemented and properly tested.</w:t>
      </w:r>
    </w:p>
    <w:p w14:paraId="6462B2DD"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3</w:t>
      </w:r>
      <w:r w:rsidRPr="007D2F64">
        <w:rPr>
          <w:rFonts w:asciiTheme="minorHAnsi" w:eastAsiaTheme="minorEastAsia" w:hAnsiTheme="minorHAnsi" w:cstheme="minorBidi"/>
          <w:b w:val="0"/>
          <w:sz w:val="22"/>
          <w:lang w:val="en-GB" w:eastAsia="fi-FI"/>
        </w:rPr>
        <w:tab/>
      </w:r>
      <w:r w:rsidRPr="00981C2D">
        <w:t>The network configures and reconfigures the UE in accordance with the capabilities indicated by the UE. The UE shall not reject a configuration that is within the limits defined by the UE capabilities.</w:t>
      </w:r>
    </w:p>
    <w:p w14:paraId="3974BDA0"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4</w:t>
      </w:r>
      <w:r w:rsidRPr="007D2F64">
        <w:rPr>
          <w:rFonts w:asciiTheme="minorHAnsi" w:eastAsiaTheme="minorEastAsia" w:hAnsiTheme="minorHAnsi" w:cstheme="minorBidi"/>
          <w:b w:val="0"/>
          <w:sz w:val="22"/>
          <w:lang w:val="en-GB" w:eastAsia="fi-FI"/>
        </w:rPr>
        <w:tab/>
      </w:r>
      <w:r w:rsidRPr="00981C2D">
        <w:t>The complete set of UE capabilities shall be static, i.e., the UE must not change its capabilities except during DETACH/ATTACH.</w:t>
      </w:r>
    </w:p>
    <w:p w14:paraId="4E9B67D5"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5</w:t>
      </w:r>
      <w:r w:rsidRPr="007D2F64">
        <w:rPr>
          <w:rFonts w:asciiTheme="minorHAnsi" w:eastAsiaTheme="minorEastAsia" w:hAnsiTheme="minorHAnsi" w:cstheme="minorBidi"/>
          <w:b w:val="0"/>
          <w:sz w:val="22"/>
          <w:lang w:val="en-GB" w:eastAsia="fi-FI"/>
        </w:rPr>
        <w:tab/>
      </w:r>
      <w:r w:rsidRPr="00981C2D">
        <w:t>It should be investigated how a UE may indicate (temporary) restrictions of its capabilities (to account e.g. for an overloaded/overheated CPU or constraints due to other active RATs) without harming user- and network performance and stability.</w:t>
      </w:r>
    </w:p>
    <w:p w14:paraId="3AEB45DF"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6</w:t>
      </w:r>
      <w:r w:rsidRPr="007D2F64">
        <w:rPr>
          <w:rFonts w:asciiTheme="minorHAnsi" w:eastAsiaTheme="minorEastAsia" w:hAnsiTheme="minorHAnsi" w:cstheme="minorBidi"/>
          <w:b w:val="0"/>
          <w:sz w:val="22"/>
          <w:lang w:val="en-GB" w:eastAsia="fi-FI"/>
        </w:rPr>
        <w:tab/>
      </w:r>
      <w:r w:rsidRPr="00981C2D">
        <w:t>RAN2 should aim to reduce the size of the capability structure compared to that of LTE. RAN2 should for example consider reducing the number of capabilities repeated per the band combination and rather indicate for which bands they may be used (RF restriction) and in combination with which other features (processing limitation).</w:t>
      </w:r>
    </w:p>
    <w:p w14:paraId="6EE460A3" w14:textId="77777777" w:rsidR="007D2F64" w:rsidRPr="007D2F64" w:rsidRDefault="007D2F64">
      <w:pPr>
        <w:pStyle w:val="TOC1"/>
        <w:rPr>
          <w:rFonts w:asciiTheme="minorHAnsi" w:eastAsiaTheme="minorEastAsia" w:hAnsiTheme="minorHAnsi" w:cstheme="minorBidi"/>
          <w:b w:val="0"/>
          <w:sz w:val="22"/>
          <w:lang w:val="en-GB" w:eastAsia="fi-FI"/>
        </w:rPr>
      </w:pPr>
      <w:r w:rsidRPr="00981C2D">
        <w:t>Proposal 7</w:t>
      </w:r>
      <w:r w:rsidRPr="007D2F64">
        <w:rPr>
          <w:rFonts w:asciiTheme="minorHAnsi" w:eastAsiaTheme="minorEastAsia" w:hAnsiTheme="minorHAnsi" w:cstheme="minorBidi"/>
          <w:b w:val="0"/>
          <w:sz w:val="22"/>
          <w:lang w:val="en-GB" w:eastAsia="fi-FI"/>
        </w:rPr>
        <w:tab/>
      </w:r>
      <w:r w:rsidRPr="00981C2D">
        <w:t>Upon request from the RAN, the UE provides only a short identifier (model ID) that unambiguously identifies the corresponding full set of UE capabilities but not the UE itself. If the RAN is not aware of this full set of capabilities corresponding to the received model ID, it may either request it from the CN or from the UE. Preferably, the RAN and the CN store the full capability sets in combination with the model IDs.</w:t>
      </w:r>
    </w:p>
    <w:p w14:paraId="1CFC5726" w14:textId="4EB7C4CA" w:rsidR="002361BB" w:rsidRPr="00D04434" w:rsidRDefault="002361BB" w:rsidP="002361BB">
      <w:pPr>
        <w:rPr>
          <w:b/>
          <w:bCs/>
        </w:rPr>
      </w:pPr>
      <w:r>
        <w:rPr>
          <w:b/>
          <w:bCs/>
        </w:rPr>
        <w:fldChar w:fldCharType="end"/>
      </w:r>
    </w:p>
    <w:p w14:paraId="0914AA89" w14:textId="4B174A06" w:rsidR="00431B8D" w:rsidRDefault="00D6542E" w:rsidP="00D6542E">
      <w:pPr>
        <w:pStyle w:val="Heading1"/>
      </w:pPr>
      <w:r>
        <w:t>References</w:t>
      </w:r>
    </w:p>
    <w:bookmarkStart w:id="37" w:name="_Ref462409765"/>
    <w:p w14:paraId="5B8CFEC9" w14:textId="51B22931" w:rsidR="00D6542E" w:rsidRPr="00D6542E" w:rsidRDefault="00D6542E" w:rsidP="00D6542E">
      <w:pPr>
        <w:pStyle w:val="Reference"/>
      </w:pPr>
      <w:r>
        <w:fldChar w:fldCharType="begin"/>
      </w:r>
      <w:r>
        <w:instrText xml:space="preserve"> HYPERLINK "ftp://ftp.3gpp.org/tsg_ran/WG2_RL2/TSGR2_91bis/Docs//R2-154759.zip" </w:instrText>
      </w:r>
      <w:r>
        <w:fldChar w:fldCharType="separate"/>
      </w:r>
      <w:r w:rsidRPr="00D6542E">
        <w:rPr>
          <w:rStyle w:val="Hyperlink"/>
        </w:rPr>
        <w:t>R2-154759</w:t>
      </w:r>
      <w:r>
        <w:fldChar w:fldCharType="end"/>
      </w:r>
      <w:r>
        <w:t>, “</w:t>
      </w:r>
      <w:r w:rsidRPr="00D6542E">
        <w:t>Capability signalling for more than 5 carriers</w:t>
      </w:r>
      <w:r>
        <w:t>”, RAN WG2 #91bis, Malmö, Sweden, 5–9 October 2015</w:t>
      </w:r>
      <w:bookmarkEnd w:id="37"/>
    </w:p>
    <w:sectPr w:rsidR="00D6542E" w:rsidRPr="00D6542E">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AED210" w14:textId="77777777" w:rsidR="00754747" w:rsidRDefault="00754747">
      <w:r>
        <w:separator/>
      </w:r>
    </w:p>
  </w:endnote>
  <w:endnote w:type="continuationSeparator" w:id="0">
    <w:p w14:paraId="5BE04030" w14:textId="77777777" w:rsidR="00754747" w:rsidRDefault="00754747">
      <w:r>
        <w:continuationSeparator/>
      </w:r>
    </w:p>
  </w:endnote>
  <w:endnote w:type="continuationNotice" w:id="1">
    <w:p w14:paraId="5CB59B94" w14:textId="77777777" w:rsidR="00754747" w:rsidRDefault="007547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3705D3" w14:textId="199B2BD0" w:rsidR="009118A1" w:rsidRDefault="009118A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7D2F64">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7D2F64">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CAF01E" w14:textId="77777777" w:rsidR="00754747" w:rsidRDefault="00754747">
      <w:r>
        <w:separator/>
      </w:r>
    </w:p>
  </w:footnote>
  <w:footnote w:type="continuationSeparator" w:id="0">
    <w:p w14:paraId="23E72E04" w14:textId="77777777" w:rsidR="00754747" w:rsidRDefault="00754747">
      <w:r>
        <w:continuationSeparator/>
      </w:r>
    </w:p>
  </w:footnote>
  <w:footnote w:type="continuationNotice" w:id="1">
    <w:p w14:paraId="19FC7CA9" w14:textId="77777777" w:rsidR="00754747" w:rsidRDefault="007547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17B2D1" w14:textId="77777777" w:rsidR="009118A1" w:rsidRDefault="009118A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7E4F62" w14:textId="77777777" w:rsidR="009118A1" w:rsidRDefault="009118A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5A4F0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F40AE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6868072"/>
    <w:lvl w:ilvl="0">
      <w:start w:val="1"/>
      <w:numFmt w:val="decimal"/>
      <w:lvlText w:val="%1."/>
      <w:lvlJc w:val="left"/>
      <w:pPr>
        <w:tabs>
          <w:tab w:val="num" w:pos="926"/>
        </w:tabs>
        <w:ind w:left="926" w:hanging="360"/>
      </w:pPr>
    </w:lvl>
  </w:abstractNum>
  <w:abstractNum w:abstractNumId="3" w15:restartNumberingAfterBreak="0">
    <w:nsid w:val="FFFFFF89"/>
    <w:multiLevelType w:val="singleLevel"/>
    <w:tmpl w:val="3F60A486"/>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2552047"/>
    <w:multiLevelType w:val="multilevel"/>
    <w:tmpl w:val="1EE4517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A5902F1"/>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AEF54A2"/>
    <w:multiLevelType w:val="hybridMultilevel"/>
    <w:tmpl w:val="66FADD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AA46647"/>
    <w:multiLevelType w:val="hybridMultilevel"/>
    <w:tmpl w:val="B734F95E"/>
    <w:lvl w:ilvl="0" w:tplc="E448490A">
      <w:start w:val="1"/>
      <w:numFmt w:val="decimal"/>
      <w:pStyle w:val="Proposal"/>
      <w:lvlText w:val="Proposal %1"/>
      <w:lvlJc w:val="left"/>
      <w:pPr>
        <w:tabs>
          <w:tab w:val="num" w:pos="1304"/>
        </w:tabs>
        <w:ind w:left="1304" w:hanging="1304"/>
      </w:pPr>
      <w:rPr>
        <w:rFonts w:hint="default"/>
        <w:lang w:val="en-US"/>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74A345B"/>
    <w:multiLevelType w:val="hybridMultilevel"/>
    <w:tmpl w:val="0A92FE20"/>
    <w:lvl w:ilvl="0" w:tplc="AE18480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53D7393E"/>
    <w:multiLevelType w:val="hybridMultilevel"/>
    <w:tmpl w:val="78D4D776"/>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abstractNum w:abstractNumId="19" w15:restartNumberingAfterBreak="0">
    <w:nsid w:val="544D4B86"/>
    <w:multiLevelType w:val="hybridMultilevel"/>
    <w:tmpl w:val="4BEE6CAE"/>
    <w:lvl w:ilvl="0" w:tplc="8A2C484E">
      <w:start w:val="5"/>
      <w:numFmt w:val="bullet"/>
      <w:lvlText w:val="-"/>
      <w:lvlJc w:val="left"/>
      <w:pPr>
        <w:ind w:left="720" w:hanging="360"/>
      </w:pPr>
      <w:rPr>
        <w:rFonts w:ascii="Calibri" w:eastAsiaTheme="minorHAnsi" w:hAnsi="Calibri"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5AC70E8"/>
    <w:multiLevelType w:val="hybridMultilevel"/>
    <w:tmpl w:val="0FB291F4"/>
    <w:lvl w:ilvl="0" w:tplc="0D92179C">
      <w:start w:val="21"/>
      <w:numFmt w:val="bullet"/>
      <w:lvlText w:val="-"/>
      <w:lvlJc w:val="left"/>
      <w:pPr>
        <w:ind w:left="720" w:hanging="360"/>
      </w:pPr>
      <w:rPr>
        <w:rFonts w:ascii="Arial" w:eastAsia="Times New Roman" w:hAnsi="Arial" w:cs="Arial" w:hint="default"/>
        <w:i w:val="0"/>
        <w:color w:val="auto"/>
        <w:sz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9D7281D"/>
    <w:multiLevelType w:val="hybridMultilevel"/>
    <w:tmpl w:val="8DB86E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A37878"/>
    <w:multiLevelType w:val="hybridMultilevel"/>
    <w:tmpl w:val="B10E1AEC"/>
    <w:lvl w:ilvl="0" w:tplc="041D0001">
      <w:start w:val="1"/>
      <w:numFmt w:val="bullet"/>
      <w:lvlText w:val=""/>
      <w:lvlJc w:val="left"/>
      <w:pPr>
        <w:ind w:left="2024" w:hanging="360"/>
      </w:pPr>
      <w:rPr>
        <w:rFonts w:ascii="Symbol" w:hAnsi="Symbol" w:hint="default"/>
      </w:rPr>
    </w:lvl>
    <w:lvl w:ilvl="1" w:tplc="041D0003" w:tentative="1">
      <w:start w:val="1"/>
      <w:numFmt w:val="bullet"/>
      <w:lvlText w:val="o"/>
      <w:lvlJc w:val="left"/>
      <w:pPr>
        <w:ind w:left="2744" w:hanging="360"/>
      </w:pPr>
      <w:rPr>
        <w:rFonts w:ascii="Courier New" w:hAnsi="Courier New" w:cs="Courier New" w:hint="default"/>
      </w:rPr>
    </w:lvl>
    <w:lvl w:ilvl="2" w:tplc="041D0005" w:tentative="1">
      <w:start w:val="1"/>
      <w:numFmt w:val="bullet"/>
      <w:lvlText w:val=""/>
      <w:lvlJc w:val="left"/>
      <w:pPr>
        <w:ind w:left="3464" w:hanging="360"/>
      </w:pPr>
      <w:rPr>
        <w:rFonts w:ascii="Wingdings" w:hAnsi="Wingdings" w:hint="default"/>
      </w:rPr>
    </w:lvl>
    <w:lvl w:ilvl="3" w:tplc="041D0001" w:tentative="1">
      <w:start w:val="1"/>
      <w:numFmt w:val="bullet"/>
      <w:lvlText w:val=""/>
      <w:lvlJc w:val="left"/>
      <w:pPr>
        <w:ind w:left="4184" w:hanging="360"/>
      </w:pPr>
      <w:rPr>
        <w:rFonts w:ascii="Symbol" w:hAnsi="Symbol" w:hint="default"/>
      </w:rPr>
    </w:lvl>
    <w:lvl w:ilvl="4" w:tplc="041D0003" w:tentative="1">
      <w:start w:val="1"/>
      <w:numFmt w:val="bullet"/>
      <w:lvlText w:val="o"/>
      <w:lvlJc w:val="left"/>
      <w:pPr>
        <w:ind w:left="4904" w:hanging="360"/>
      </w:pPr>
      <w:rPr>
        <w:rFonts w:ascii="Courier New" w:hAnsi="Courier New" w:cs="Courier New" w:hint="default"/>
      </w:rPr>
    </w:lvl>
    <w:lvl w:ilvl="5" w:tplc="041D0005" w:tentative="1">
      <w:start w:val="1"/>
      <w:numFmt w:val="bullet"/>
      <w:lvlText w:val=""/>
      <w:lvlJc w:val="left"/>
      <w:pPr>
        <w:ind w:left="5624" w:hanging="360"/>
      </w:pPr>
      <w:rPr>
        <w:rFonts w:ascii="Wingdings" w:hAnsi="Wingdings" w:hint="default"/>
      </w:rPr>
    </w:lvl>
    <w:lvl w:ilvl="6" w:tplc="041D0001" w:tentative="1">
      <w:start w:val="1"/>
      <w:numFmt w:val="bullet"/>
      <w:lvlText w:val=""/>
      <w:lvlJc w:val="left"/>
      <w:pPr>
        <w:ind w:left="6344" w:hanging="360"/>
      </w:pPr>
      <w:rPr>
        <w:rFonts w:ascii="Symbol" w:hAnsi="Symbol" w:hint="default"/>
      </w:rPr>
    </w:lvl>
    <w:lvl w:ilvl="7" w:tplc="041D0003" w:tentative="1">
      <w:start w:val="1"/>
      <w:numFmt w:val="bullet"/>
      <w:lvlText w:val="o"/>
      <w:lvlJc w:val="left"/>
      <w:pPr>
        <w:ind w:left="7064" w:hanging="360"/>
      </w:pPr>
      <w:rPr>
        <w:rFonts w:ascii="Courier New" w:hAnsi="Courier New" w:cs="Courier New" w:hint="default"/>
      </w:rPr>
    </w:lvl>
    <w:lvl w:ilvl="8" w:tplc="041D0005" w:tentative="1">
      <w:start w:val="1"/>
      <w:numFmt w:val="bullet"/>
      <w:lvlText w:val=""/>
      <w:lvlJc w:val="left"/>
      <w:pPr>
        <w:ind w:left="7784" w:hanging="360"/>
      </w:pPr>
      <w:rPr>
        <w:rFonts w:ascii="Wingdings" w:hAnsi="Wingdings" w:hint="default"/>
      </w:rPr>
    </w:lvl>
  </w:abstractNum>
  <w:num w:numId="1">
    <w:abstractNumId w:val="5"/>
  </w:num>
  <w:num w:numId="2">
    <w:abstractNumId w:val="15"/>
  </w:num>
  <w:num w:numId="3">
    <w:abstractNumId w:val="11"/>
  </w:num>
  <w:num w:numId="4">
    <w:abstractNumId w:val="12"/>
  </w:num>
  <w:num w:numId="5">
    <w:abstractNumId w:val="9"/>
  </w:num>
  <w:num w:numId="6">
    <w:abstractNumId w:val="13"/>
  </w:num>
  <w:num w:numId="7">
    <w:abstractNumId w:val="21"/>
  </w:num>
  <w:num w:numId="8">
    <w:abstractNumId w:val="10"/>
  </w:num>
  <w:num w:numId="9">
    <w:abstractNumId w:val="16"/>
  </w:num>
  <w:num w:numId="10">
    <w:abstractNumId w:val="17"/>
  </w:num>
  <w:num w:numId="11">
    <w:abstractNumId w:val="11"/>
  </w:num>
  <w:num w:numId="12">
    <w:abstractNumId w:val="11"/>
    <w:lvlOverride w:ilvl="0">
      <w:startOverride w:val="1"/>
    </w:lvlOverride>
  </w:num>
  <w:num w:numId="13">
    <w:abstractNumId w:val="14"/>
  </w:num>
  <w:num w:numId="14">
    <w:abstractNumId w:val="20"/>
  </w:num>
  <w:num w:numId="15">
    <w:abstractNumId w:val="22"/>
  </w:num>
  <w:num w:numId="16">
    <w:abstractNumId w:val="7"/>
  </w:num>
  <w:num w:numId="17">
    <w:abstractNumId w:val="11"/>
  </w:num>
  <w:num w:numId="18">
    <w:abstractNumId w:val="11"/>
    <w:lvlOverride w:ilvl="0">
      <w:startOverride w:val="1"/>
    </w:lvlOverride>
  </w:num>
  <w:num w:numId="19">
    <w:abstractNumId w:val="19"/>
  </w:num>
  <w:num w:numId="20">
    <w:abstractNumId w:val="8"/>
  </w:num>
  <w:num w:numId="2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23"/>
  </w:num>
  <w:num w:numId="24">
    <w:abstractNumId w:val="18"/>
  </w:num>
  <w:num w:numId="25">
    <w:abstractNumId w:val="2"/>
  </w:num>
  <w:num w:numId="26">
    <w:abstractNumId w:val="1"/>
  </w:num>
  <w:num w:numId="27">
    <w:abstractNumId w:val="0"/>
  </w:num>
  <w:num w:numId="28">
    <w:abstractNumId w:val="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358A"/>
    <w:rsid w:val="00005370"/>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1BD1"/>
    <w:rsid w:val="00052A07"/>
    <w:rsid w:val="000534E3"/>
    <w:rsid w:val="00053884"/>
    <w:rsid w:val="00055BC1"/>
    <w:rsid w:val="0005606A"/>
    <w:rsid w:val="00057117"/>
    <w:rsid w:val="0006057A"/>
    <w:rsid w:val="000609B7"/>
    <w:rsid w:val="000616E7"/>
    <w:rsid w:val="0006487E"/>
    <w:rsid w:val="00065E1A"/>
    <w:rsid w:val="000668D7"/>
    <w:rsid w:val="00070FBD"/>
    <w:rsid w:val="000729B6"/>
    <w:rsid w:val="00077E5F"/>
    <w:rsid w:val="0008036A"/>
    <w:rsid w:val="000811CF"/>
    <w:rsid w:val="00081AE6"/>
    <w:rsid w:val="00084A9D"/>
    <w:rsid w:val="000855EB"/>
    <w:rsid w:val="00085B52"/>
    <w:rsid w:val="000866F2"/>
    <w:rsid w:val="0009009F"/>
    <w:rsid w:val="00090CCA"/>
    <w:rsid w:val="00091557"/>
    <w:rsid w:val="000924C1"/>
    <w:rsid w:val="000924F0"/>
    <w:rsid w:val="00093474"/>
    <w:rsid w:val="0009510F"/>
    <w:rsid w:val="000968DC"/>
    <w:rsid w:val="000A0AFD"/>
    <w:rsid w:val="000A1B7B"/>
    <w:rsid w:val="000A36C3"/>
    <w:rsid w:val="000A56F2"/>
    <w:rsid w:val="000B2719"/>
    <w:rsid w:val="000B3A8F"/>
    <w:rsid w:val="000B4AB9"/>
    <w:rsid w:val="000B4D16"/>
    <w:rsid w:val="000B58C3"/>
    <w:rsid w:val="000B61E9"/>
    <w:rsid w:val="000C038F"/>
    <w:rsid w:val="000C165A"/>
    <w:rsid w:val="000C17D9"/>
    <w:rsid w:val="000C27C5"/>
    <w:rsid w:val="000C2E19"/>
    <w:rsid w:val="000C3070"/>
    <w:rsid w:val="000C62E7"/>
    <w:rsid w:val="000C7397"/>
    <w:rsid w:val="000D0D07"/>
    <w:rsid w:val="000D0D62"/>
    <w:rsid w:val="000D2D69"/>
    <w:rsid w:val="000D4797"/>
    <w:rsid w:val="000D6C88"/>
    <w:rsid w:val="000E0527"/>
    <w:rsid w:val="000E1E92"/>
    <w:rsid w:val="000E68B3"/>
    <w:rsid w:val="000F06D6"/>
    <w:rsid w:val="000F0DD9"/>
    <w:rsid w:val="000F0EB1"/>
    <w:rsid w:val="000F1106"/>
    <w:rsid w:val="000F3BE9"/>
    <w:rsid w:val="000F3F6C"/>
    <w:rsid w:val="000F4EC2"/>
    <w:rsid w:val="000F6DF3"/>
    <w:rsid w:val="001005FF"/>
    <w:rsid w:val="00100F45"/>
    <w:rsid w:val="00101232"/>
    <w:rsid w:val="001062FB"/>
    <w:rsid w:val="001063E6"/>
    <w:rsid w:val="00110233"/>
    <w:rsid w:val="001112D9"/>
    <w:rsid w:val="00112A53"/>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5252"/>
    <w:rsid w:val="00137728"/>
    <w:rsid w:val="00137AB5"/>
    <w:rsid w:val="00137F0B"/>
    <w:rsid w:val="00142383"/>
    <w:rsid w:val="00143008"/>
    <w:rsid w:val="00143981"/>
    <w:rsid w:val="0014787F"/>
    <w:rsid w:val="001501DF"/>
    <w:rsid w:val="00151E23"/>
    <w:rsid w:val="001526E0"/>
    <w:rsid w:val="001534F9"/>
    <w:rsid w:val="00153DA5"/>
    <w:rsid w:val="001551B5"/>
    <w:rsid w:val="001609E7"/>
    <w:rsid w:val="00161D58"/>
    <w:rsid w:val="00162B29"/>
    <w:rsid w:val="001659C1"/>
    <w:rsid w:val="0016637B"/>
    <w:rsid w:val="00167C89"/>
    <w:rsid w:val="00173344"/>
    <w:rsid w:val="00173A8E"/>
    <w:rsid w:val="00174A60"/>
    <w:rsid w:val="00177587"/>
    <w:rsid w:val="0018143F"/>
    <w:rsid w:val="001825A5"/>
    <w:rsid w:val="00183CEB"/>
    <w:rsid w:val="00190AC1"/>
    <w:rsid w:val="00192BEB"/>
    <w:rsid w:val="0019341A"/>
    <w:rsid w:val="001949D4"/>
    <w:rsid w:val="001955A4"/>
    <w:rsid w:val="00197DF9"/>
    <w:rsid w:val="001A1987"/>
    <w:rsid w:val="001A22DA"/>
    <w:rsid w:val="001A2564"/>
    <w:rsid w:val="001A2B06"/>
    <w:rsid w:val="001A6173"/>
    <w:rsid w:val="001A65E5"/>
    <w:rsid w:val="001A6CBA"/>
    <w:rsid w:val="001B0D97"/>
    <w:rsid w:val="001B5A5D"/>
    <w:rsid w:val="001B644E"/>
    <w:rsid w:val="001C1CE5"/>
    <w:rsid w:val="001C3D2A"/>
    <w:rsid w:val="001C4EEE"/>
    <w:rsid w:val="001D0E26"/>
    <w:rsid w:val="001D20C3"/>
    <w:rsid w:val="001D51BA"/>
    <w:rsid w:val="001D61A9"/>
    <w:rsid w:val="001D6342"/>
    <w:rsid w:val="001D6D53"/>
    <w:rsid w:val="001E0114"/>
    <w:rsid w:val="001E383C"/>
    <w:rsid w:val="001E3DAA"/>
    <w:rsid w:val="001E58E2"/>
    <w:rsid w:val="001E7AED"/>
    <w:rsid w:val="001F2689"/>
    <w:rsid w:val="001F3916"/>
    <w:rsid w:val="001F54C5"/>
    <w:rsid w:val="001F662C"/>
    <w:rsid w:val="001F7074"/>
    <w:rsid w:val="00200490"/>
    <w:rsid w:val="00200D58"/>
    <w:rsid w:val="00201894"/>
    <w:rsid w:val="00201F3A"/>
    <w:rsid w:val="00203F96"/>
    <w:rsid w:val="002069B2"/>
    <w:rsid w:val="00207FA3"/>
    <w:rsid w:val="0021200B"/>
    <w:rsid w:val="00214AED"/>
    <w:rsid w:val="00214DA8"/>
    <w:rsid w:val="00215423"/>
    <w:rsid w:val="002158FA"/>
    <w:rsid w:val="00220600"/>
    <w:rsid w:val="002224DB"/>
    <w:rsid w:val="00223FCB"/>
    <w:rsid w:val="00225168"/>
    <w:rsid w:val="002252C3"/>
    <w:rsid w:val="00225C54"/>
    <w:rsid w:val="00230765"/>
    <w:rsid w:val="00230D6D"/>
    <w:rsid w:val="002319E4"/>
    <w:rsid w:val="00232AED"/>
    <w:rsid w:val="0023371F"/>
    <w:rsid w:val="00235632"/>
    <w:rsid w:val="00235872"/>
    <w:rsid w:val="002361BB"/>
    <w:rsid w:val="00236BF5"/>
    <w:rsid w:val="00241559"/>
    <w:rsid w:val="002427AD"/>
    <w:rsid w:val="002435B3"/>
    <w:rsid w:val="00243823"/>
    <w:rsid w:val="00243944"/>
    <w:rsid w:val="002458EB"/>
    <w:rsid w:val="00245F45"/>
    <w:rsid w:val="00246637"/>
    <w:rsid w:val="0024749E"/>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40F8"/>
    <w:rsid w:val="00275047"/>
    <w:rsid w:val="00276EF5"/>
    <w:rsid w:val="002805F5"/>
    <w:rsid w:val="00280751"/>
    <w:rsid w:val="0028280A"/>
    <w:rsid w:val="002828DA"/>
    <w:rsid w:val="00285B99"/>
    <w:rsid w:val="00286ACD"/>
    <w:rsid w:val="00287838"/>
    <w:rsid w:val="002907B5"/>
    <w:rsid w:val="00292EB7"/>
    <w:rsid w:val="00295E23"/>
    <w:rsid w:val="00296227"/>
    <w:rsid w:val="00296F44"/>
    <w:rsid w:val="0029777D"/>
    <w:rsid w:val="002A055E"/>
    <w:rsid w:val="002A1D4E"/>
    <w:rsid w:val="002A2869"/>
    <w:rsid w:val="002B0D5D"/>
    <w:rsid w:val="002B1D1A"/>
    <w:rsid w:val="002B24D6"/>
    <w:rsid w:val="002B4E21"/>
    <w:rsid w:val="002C41E6"/>
    <w:rsid w:val="002C52C8"/>
    <w:rsid w:val="002C6262"/>
    <w:rsid w:val="002D071A"/>
    <w:rsid w:val="002D34B2"/>
    <w:rsid w:val="002D3E97"/>
    <w:rsid w:val="002D5460"/>
    <w:rsid w:val="002D5F0F"/>
    <w:rsid w:val="002D7637"/>
    <w:rsid w:val="002E12AA"/>
    <w:rsid w:val="002E17F2"/>
    <w:rsid w:val="002E42F0"/>
    <w:rsid w:val="002E6860"/>
    <w:rsid w:val="002E6BA5"/>
    <w:rsid w:val="002E7CAE"/>
    <w:rsid w:val="002F2771"/>
    <w:rsid w:val="002F37A9"/>
    <w:rsid w:val="002F6E40"/>
    <w:rsid w:val="003010E1"/>
    <w:rsid w:val="00301CE6"/>
    <w:rsid w:val="0030256B"/>
    <w:rsid w:val="0030501F"/>
    <w:rsid w:val="00307BA1"/>
    <w:rsid w:val="00311702"/>
    <w:rsid w:val="00311E82"/>
    <w:rsid w:val="00313FD6"/>
    <w:rsid w:val="003140FC"/>
    <w:rsid w:val="003143BD"/>
    <w:rsid w:val="00314922"/>
    <w:rsid w:val="00316B3F"/>
    <w:rsid w:val="00317964"/>
    <w:rsid w:val="003203ED"/>
    <w:rsid w:val="003204C6"/>
    <w:rsid w:val="0032131B"/>
    <w:rsid w:val="00322C9F"/>
    <w:rsid w:val="0032460C"/>
    <w:rsid w:val="00324D23"/>
    <w:rsid w:val="00331751"/>
    <w:rsid w:val="00332A77"/>
    <w:rsid w:val="00334579"/>
    <w:rsid w:val="00334EAF"/>
    <w:rsid w:val="00335858"/>
    <w:rsid w:val="00336BDA"/>
    <w:rsid w:val="0033744A"/>
    <w:rsid w:val="00342681"/>
    <w:rsid w:val="00342BD7"/>
    <w:rsid w:val="00346DB5"/>
    <w:rsid w:val="003477B1"/>
    <w:rsid w:val="0035204F"/>
    <w:rsid w:val="00355F74"/>
    <w:rsid w:val="00356C79"/>
    <w:rsid w:val="00357380"/>
    <w:rsid w:val="003602D9"/>
    <w:rsid w:val="003604CE"/>
    <w:rsid w:val="00370E47"/>
    <w:rsid w:val="003742AC"/>
    <w:rsid w:val="00375476"/>
    <w:rsid w:val="00375ED6"/>
    <w:rsid w:val="00377CE1"/>
    <w:rsid w:val="00381B3C"/>
    <w:rsid w:val="00385BF0"/>
    <w:rsid w:val="003867CD"/>
    <w:rsid w:val="00390400"/>
    <w:rsid w:val="0039066C"/>
    <w:rsid w:val="003939FF"/>
    <w:rsid w:val="003977DD"/>
    <w:rsid w:val="003A2223"/>
    <w:rsid w:val="003A2A0F"/>
    <w:rsid w:val="003A3513"/>
    <w:rsid w:val="003A45A1"/>
    <w:rsid w:val="003A5B0A"/>
    <w:rsid w:val="003A6BAC"/>
    <w:rsid w:val="003A6F87"/>
    <w:rsid w:val="003A7EF3"/>
    <w:rsid w:val="003B159C"/>
    <w:rsid w:val="003B1F88"/>
    <w:rsid w:val="003B369F"/>
    <w:rsid w:val="003B36A3"/>
    <w:rsid w:val="003B7FE5"/>
    <w:rsid w:val="003C11C8"/>
    <w:rsid w:val="003C1B54"/>
    <w:rsid w:val="003C2702"/>
    <w:rsid w:val="003C4CE3"/>
    <w:rsid w:val="003C672E"/>
    <w:rsid w:val="003C6B96"/>
    <w:rsid w:val="003C7806"/>
    <w:rsid w:val="003D109F"/>
    <w:rsid w:val="003D187B"/>
    <w:rsid w:val="003D1A4E"/>
    <w:rsid w:val="003D2478"/>
    <w:rsid w:val="003D3754"/>
    <w:rsid w:val="003D3C45"/>
    <w:rsid w:val="003D5B1F"/>
    <w:rsid w:val="003E15FA"/>
    <w:rsid w:val="003E55E4"/>
    <w:rsid w:val="003E6E6F"/>
    <w:rsid w:val="003E74E3"/>
    <w:rsid w:val="003F05C7"/>
    <w:rsid w:val="003F2384"/>
    <w:rsid w:val="003F2CD4"/>
    <w:rsid w:val="003F6BBE"/>
    <w:rsid w:val="004000E8"/>
    <w:rsid w:val="00400A95"/>
    <w:rsid w:val="00402512"/>
    <w:rsid w:val="00402E2B"/>
    <w:rsid w:val="0040512B"/>
    <w:rsid w:val="00405595"/>
    <w:rsid w:val="00405CA5"/>
    <w:rsid w:val="00407AB5"/>
    <w:rsid w:val="00407CD3"/>
    <w:rsid w:val="00410134"/>
    <w:rsid w:val="00410B72"/>
    <w:rsid w:val="00410F18"/>
    <w:rsid w:val="004117A3"/>
    <w:rsid w:val="0041263E"/>
    <w:rsid w:val="00413AAC"/>
    <w:rsid w:val="004141DD"/>
    <w:rsid w:val="00421105"/>
    <w:rsid w:val="00421899"/>
    <w:rsid w:val="004242F4"/>
    <w:rsid w:val="00427248"/>
    <w:rsid w:val="00430167"/>
    <w:rsid w:val="00431B8D"/>
    <w:rsid w:val="004358F0"/>
    <w:rsid w:val="00436EDE"/>
    <w:rsid w:val="00437447"/>
    <w:rsid w:val="004405BB"/>
    <w:rsid w:val="004419C9"/>
    <w:rsid w:val="00441A92"/>
    <w:rsid w:val="004428EF"/>
    <w:rsid w:val="00443E2D"/>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112F"/>
    <w:rsid w:val="00483BB6"/>
    <w:rsid w:val="00486ACF"/>
    <w:rsid w:val="00487A4D"/>
    <w:rsid w:val="00492BC5"/>
    <w:rsid w:val="004964F1"/>
    <w:rsid w:val="00497F83"/>
    <w:rsid w:val="004A0B28"/>
    <w:rsid w:val="004A16BC"/>
    <w:rsid w:val="004A2B94"/>
    <w:rsid w:val="004A3021"/>
    <w:rsid w:val="004A4533"/>
    <w:rsid w:val="004A7D56"/>
    <w:rsid w:val="004B5DAE"/>
    <w:rsid w:val="004B72BA"/>
    <w:rsid w:val="004B7C0C"/>
    <w:rsid w:val="004B7FA5"/>
    <w:rsid w:val="004C1072"/>
    <w:rsid w:val="004C379F"/>
    <w:rsid w:val="004C3898"/>
    <w:rsid w:val="004C7E2C"/>
    <w:rsid w:val="004D1E06"/>
    <w:rsid w:val="004D1FD3"/>
    <w:rsid w:val="004D36B1"/>
    <w:rsid w:val="004D7EBD"/>
    <w:rsid w:val="004E1AF8"/>
    <w:rsid w:val="004E2680"/>
    <w:rsid w:val="004E28F9"/>
    <w:rsid w:val="004E462E"/>
    <w:rsid w:val="004E56DC"/>
    <w:rsid w:val="004E76F4"/>
    <w:rsid w:val="004F0B4E"/>
    <w:rsid w:val="004F0B6C"/>
    <w:rsid w:val="004F14EE"/>
    <w:rsid w:val="004F2078"/>
    <w:rsid w:val="004F3527"/>
    <w:rsid w:val="004F4DA3"/>
    <w:rsid w:val="004F69D1"/>
    <w:rsid w:val="004F6FE0"/>
    <w:rsid w:val="005008F7"/>
    <w:rsid w:val="00506557"/>
    <w:rsid w:val="0050677A"/>
    <w:rsid w:val="005108D8"/>
    <w:rsid w:val="005116F9"/>
    <w:rsid w:val="005131EC"/>
    <w:rsid w:val="005153A7"/>
    <w:rsid w:val="00517AD0"/>
    <w:rsid w:val="00517BE0"/>
    <w:rsid w:val="00520159"/>
    <w:rsid w:val="00520D36"/>
    <w:rsid w:val="00521514"/>
    <w:rsid w:val="005219CF"/>
    <w:rsid w:val="00525BA7"/>
    <w:rsid w:val="00527027"/>
    <w:rsid w:val="00530FD1"/>
    <w:rsid w:val="00532CBD"/>
    <w:rsid w:val="00534B59"/>
    <w:rsid w:val="00536759"/>
    <w:rsid w:val="00537C62"/>
    <w:rsid w:val="00546970"/>
    <w:rsid w:val="00547755"/>
    <w:rsid w:val="00547D9C"/>
    <w:rsid w:val="0055231F"/>
    <w:rsid w:val="00554E19"/>
    <w:rsid w:val="0056121F"/>
    <w:rsid w:val="00565488"/>
    <w:rsid w:val="005679DD"/>
    <w:rsid w:val="00572505"/>
    <w:rsid w:val="005736A1"/>
    <w:rsid w:val="005742B7"/>
    <w:rsid w:val="005743A5"/>
    <w:rsid w:val="00576FE6"/>
    <w:rsid w:val="00582809"/>
    <w:rsid w:val="00584F52"/>
    <w:rsid w:val="0058798C"/>
    <w:rsid w:val="00587FA9"/>
    <w:rsid w:val="005900FA"/>
    <w:rsid w:val="00590AF9"/>
    <w:rsid w:val="005935A4"/>
    <w:rsid w:val="005948C2"/>
    <w:rsid w:val="005958C8"/>
    <w:rsid w:val="00595DCA"/>
    <w:rsid w:val="0059779B"/>
    <w:rsid w:val="005A209A"/>
    <w:rsid w:val="005A288A"/>
    <w:rsid w:val="005A662D"/>
    <w:rsid w:val="005A68BA"/>
    <w:rsid w:val="005A7A43"/>
    <w:rsid w:val="005B04A1"/>
    <w:rsid w:val="005B1CDF"/>
    <w:rsid w:val="005B1F4F"/>
    <w:rsid w:val="005B35D7"/>
    <w:rsid w:val="005B392A"/>
    <w:rsid w:val="005B3AA3"/>
    <w:rsid w:val="005B5D20"/>
    <w:rsid w:val="005B6F83"/>
    <w:rsid w:val="005B7576"/>
    <w:rsid w:val="005C1729"/>
    <w:rsid w:val="005C74FB"/>
    <w:rsid w:val="005D1602"/>
    <w:rsid w:val="005D6F32"/>
    <w:rsid w:val="005E02F7"/>
    <w:rsid w:val="005E12C3"/>
    <w:rsid w:val="005E1503"/>
    <w:rsid w:val="005E1A62"/>
    <w:rsid w:val="005E2165"/>
    <w:rsid w:val="005E3309"/>
    <w:rsid w:val="005E385F"/>
    <w:rsid w:val="005E3CCA"/>
    <w:rsid w:val="005E5834"/>
    <w:rsid w:val="005E5B81"/>
    <w:rsid w:val="005F2CB1"/>
    <w:rsid w:val="005F3025"/>
    <w:rsid w:val="005F618C"/>
    <w:rsid w:val="005F70BD"/>
    <w:rsid w:val="00600F6A"/>
    <w:rsid w:val="006010AD"/>
    <w:rsid w:val="0060283C"/>
    <w:rsid w:val="00604F14"/>
    <w:rsid w:val="00605BE1"/>
    <w:rsid w:val="00607867"/>
    <w:rsid w:val="00611B83"/>
    <w:rsid w:val="00613257"/>
    <w:rsid w:val="00615440"/>
    <w:rsid w:val="00615B9D"/>
    <w:rsid w:val="00617897"/>
    <w:rsid w:val="00620A71"/>
    <w:rsid w:val="00620D80"/>
    <w:rsid w:val="006234A6"/>
    <w:rsid w:val="00623923"/>
    <w:rsid w:val="00630001"/>
    <w:rsid w:val="006311B3"/>
    <w:rsid w:val="00631F81"/>
    <w:rsid w:val="0063284C"/>
    <w:rsid w:val="00636398"/>
    <w:rsid w:val="0063642E"/>
    <w:rsid w:val="006368D3"/>
    <w:rsid w:val="006377EC"/>
    <w:rsid w:val="0064151F"/>
    <w:rsid w:val="00641533"/>
    <w:rsid w:val="00641D36"/>
    <w:rsid w:val="0064208D"/>
    <w:rsid w:val="00643475"/>
    <w:rsid w:val="0064396A"/>
    <w:rsid w:val="00644194"/>
    <w:rsid w:val="00644F5F"/>
    <w:rsid w:val="00645491"/>
    <w:rsid w:val="0064624E"/>
    <w:rsid w:val="0064657E"/>
    <w:rsid w:val="00650AB9"/>
    <w:rsid w:val="0065154C"/>
    <w:rsid w:val="00655733"/>
    <w:rsid w:val="00655ACD"/>
    <w:rsid w:val="00656A92"/>
    <w:rsid w:val="00656DDE"/>
    <w:rsid w:val="00656EB3"/>
    <w:rsid w:val="0066011D"/>
    <w:rsid w:val="006607C0"/>
    <w:rsid w:val="006613A6"/>
    <w:rsid w:val="00662095"/>
    <w:rsid w:val="006622A8"/>
    <w:rsid w:val="006627A2"/>
    <w:rsid w:val="006634E6"/>
    <w:rsid w:val="006655EE"/>
    <w:rsid w:val="00667EE7"/>
    <w:rsid w:val="00670922"/>
    <w:rsid w:val="00670BE1"/>
    <w:rsid w:val="0067218F"/>
    <w:rsid w:val="00672B38"/>
    <w:rsid w:val="006741F2"/>
    <w:rsid w:val="00674CC3"/>
    <w:rsid w:val="00675C72"/>
    <w:rsid w:val="006771F9"/>
    <w:rsid w:val="006776D7"/>
    <w:rsid w:val="00681003"/>
    <w:rsid w:val="006817C9"/>
    <w:rsid w:val="00683ECE"/>
    <w:rsid w:val="006846D8"/>
    <w:rsid w:val="00695FC2"/>
    <w:rsid w:val="006967F7"/>
    <w:rsid w:val="00696949"/>
    <w:rsid w:val="00696E1B"/>
    <w:rsid w:val="00697052"/>
    <w:rsid w:val="006A39E2"/>
    <w:rsid w:val="006A46FB"/>
    <w:rsid w:val="006A49A6"/>
    <w:rsid w:val="006A5E28"/>
    <w:rsid w:val="006A697B"/>
    <w:rsid w:val="006A7AFF"/>
    <w:rsid w:val="006B0BB5"/>
    <w:rsid w:val="006B1816"/>
    <w:rsid w:val="006B2099"/>
    <w:rsid w:val="006B50CF"/>
    <w:rsid w:val="006B5840"/>
    <w:rsid w:val="006C03B8"/>
    <w:rsid w:val="006C0D65"/>
    <w:rsid w:val="006C1081"/>
    <w:rsid w:val="006C14EE"/>
    <w:rsid w:val="006C15AF"/>
    <w:rsid w:val="006C56AD"/>
    <w:rsid w:val="006C5EC9"/>
    <w:rsid w:val="006C6059"/>
    <w:rsid w:val="006C7522"/>
    <w:rsid w:val="006D43DA"/>
    <w:rsid w:val="006D5B70"/>
    <w:rsid w:val="006D5D33"/>
    <w:rsid w:val="006D5F1C"/>
    <w:rsid w:val="006D6F08"/>
    <w:rsid w:val="006E062C"/>
    <w:rsid w:val="006E282E"/>
    <w:rsid w:val="006E28B7"/>
    <w:rsid w:val="006E3310"/>
    <w:rsid w:val="006E4AAA"/>
    <w:rsid w:val="006E4E39"/>
    <w:rsid w:val="006E565E"/>
    <w:rsid w:val="006E673D"/>
    <w:rsid w:val="006E7D3B"/>
    <w:rsid w:val="006F0F8A"/>
    <w:rsid w:val="006F1B70"/>
    <w:rsid w:val="006F341D"/>
    <w:rsid w:val="006F3CDE"/>
    <w:rsid w:val="006F58D4"/>
    <w:rsid w:val="007006BE"/>
    <w:rsid w:val="0070346E"/>
    <w:rsid w:val="00704EDB"/>
    <w:rsid w:val="00706101"/>
    <w:rsid w:val="00707072"/>
    <w:rsid w:val="00707CE9"/>
    <w:rsid w:val="00707D61"/>
    <w:rsid w:val="00712287"/>
    <w:rsid w:val="00712772"/>
    <w:rsid w:val="00712944"/>
    <w:rsid w:val="007148D3"/>
    <w:rsid w:val="00715B9A"/>
    <w:rsid w:val="00716571"/>
    <w:rsid w:val="00720DB7"/>
    <w:rsid w:val="00726EA6"/>
    <w:rsid w:val="00727208"/>
    <w:rsid w:val="00727680"/>
    <w:rsid w:val="007348B1"/>
    <w:rsid w:val="00735268"/>
    <w:rsid w:val="007362A6"/>
    <w:rsid w:val="0073649F"/>
    <w:rsid w:val="00736D7D"/>
    <w:rsid w:val="00740E58"/>
    <w:rsid w:val="0074428B"/>
    <w:rsid w:val="007445A0"/>
    <w:rsid w:val="0074524B"/>
    <w:rsid w:val="00747D8B"/>
    <w:rsid w:val="007508A2"/>
    <w:rsid w:val="00751228"/>
    <w:rsid w:val="00754747"/>
    <w:rsid w:val="007571E1"/>
    <w:rsid w:val="007604B2"/>
    <w:rsid w:val="00763E56"/>
    <w:rsid w:val="00765281"/>
    <w:rsid w:val="00766BAD"/>
    <w:rsid w:val="0076708C"/>
    <w:rsid w:val="00770B34"/>
    <w:rsid w:val="00770F02"/>
    <w:rsid w:val="00772880"/>
    <w:rsid w:val="007755C2"/>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43A6"/>
    <w:rsid w:val="007A58A6"/>
    <w:rsid w:val="007A7B2B"/>
    <w:rsid w:val="007A7B35"/>
    <w:rsid w:val="007B3D2D"/>
    <w:rsid w:val="007B50AE"/>
    <w:rsid w:val="007B51DF"/>
    <w:rsid w:val="007C05DD"/>
    <w:rsid w:val="007C3D18"/>
    <w:rsid w:val="007C60BF"/>
    <w:rsid w:val="007C6565"/>
    <w:rsid w:val="007C6A07"/>
    <w:rsid w:val="007C7086"/>
    <w:rsid w:val="007C75A1"/>
    <w:rsid w:val="007C77A5"/>
    <w:rsid w:val="007D03D2"/>
    <w:rsid w:val="007D04E5"/>
    <w:rsid w:val="007D2F64"/>
    <w:rsid w:val="007D48BB"/>
    <w:rsid w:val="007D5901"/>
    <w:rsid w:val="007D7526"/>
    <w:rsid w:val="007E1DEB"/>
    <w:rsid w:val="007E33DA"/>
    <w:rsid w:val="007E4610"/>
    <w:rsid w:val="007E4715"/>
    <w:rsid w:val="007E505B"/>
    <w:rsid w:val="007E7091"/>
    <w:rsid w:val="007E784D"/>
    <w:rsid w:val="007F131B"/>
    <w:rsid w:val="007F60D8"/>
    <w:rsid w:val="00801EB6"/>
    <w:rsid w:val="008032FA"/>
    <w:rsid w:val="00803FAE"/>
    <w:rsid w:val="0080498C"/>
    <w:rsid w:val="0080605F"/>
    <w:rsid w:val="00807786"/>
    <w:rsid w:val="0081144B"/>
    <w:rsid w:val="00811FCB"/>
    <w:rsid w:val="008158D6"/>
    <w:rsid w:val="00817196"/>
    <w:rsid w:val="00821A06"/>
    <w:rsid w:val="008235DB"/>
    <w:rsid w:val="00824AB4"/>
    <w:rsid w:val="00825C42"/>
    <w:rsid w:val="00825D25"/>
    <w:rsid w:val="00826C8B"/>
    <w:rsid w:val="00827D6F"/>
    <w:rsid w:val="00830DF7"/>
    <w:rsid w:val="0083700D"/>
    <w:rsid w:val="008376AC"/>
    <w:rsid w:val="00837BFA"/>
    <w:rsid w:val="008444E8"/>
    <w:rsid w:val="00844E80"/>
    <w:rsid w:val="00846FE7"/>
    <w:rsid w:val="008522FD"/>
    <w:rsid w:val="00856911"/>
    <w:rsid w:val="00865F3C"/>
    <w:rsid w:val="008677FD"/>
    <w:rsid w:val="00870038"/>
    <w:rsid w:val="0087007D"/>
    <w:rsid w:val="008706D4"/>
    <w:rsid w:val="00870F8A"/>
    <w:rsid w:val="008719A4"/>
    <w:rsid w:val="00871D23"/>
    <w:rsid w:val="00873177"/>
    <w:rsid w:val="00874312"/>
    <w:rsid w:val="0087437C"/>
    <w:rsid w:val="00875CD7"/>
    <w:rsid w:val="00876B4D"/>
    <w:rsid w:val="00877F18"/>
    <w:rsid w:val="008804A8"/>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9E5"/>
    <w:rsid w:val="008B7B5C"/>
    <w:rsid w:val="008B7EFE"/>
    <w:rsid w:val="008C0C99"/>
    <w:rsid w:val="008C14DD"/>
    <w:rsid w:val="008C2017"/>
    <w:rsid w:val="008C3368"/>
    <w:rsid w:val="008C4958"/>
    <w:rsid w:val="008C4BAA"/>
    <w:rsid w:val="008C6AE8"/>
    <w:rsid w:val="008C7573"/>
    <w:rsid w:val="008D34F1"/>
    <w:rsid w:val="008D39D8"/>
    <w:rsid w:val="008D5C4E"/>
    <w:rsid w:val="008D6D1A"/>
    <w:rsid w:val="008D743D"/>
    <w:rsid w:val="008D74B4"/>
    <w:rsid w:val="008E065E"/>
    <w:rsid w:val="008E0927"/>
    <w:rsid w:val="008E153D"/>
    <w:rsid w:val="008E1909"/>
    <w:rsid w:val="008E5EDA"/>
    <w:rsid w:val="008F0729"/>
    <w:rsid w:val="008F1EAB"/>
    <w:rsid w:val="008F33DC"/>
    <w:rsid w:val="008F477F"/>
    <w:rsid w:val="008F523A"/>
    <w:rsid w:val="008F53C5"/>
    <w:rsid w:val="008F58A4"/>
    <w:rsid w:val="00902350"/>
    <w:rsid w:val="0090336B"/>
    <w:rsid w:val="009053AA"/>
    <w:rsid w:val="0090544E"/>
    <w:rsid w:val="00906939"/>
    <w:rsid w:val="00910B7D"/>
    <w:rsid w:val="009118A1"/>
    <w:rsid w:val="00911DFB"/>
    <w:rsid w:val="009139D9"/>
    <w:rsid w:val="00913E71"/>
    <w:rsid w:val="00914AD8"/>
    <w:rsid w:val="009158A3"/>
    <w:rsid w:val="00916046"/>
    <w:rsid w:val="00916079"/>
    <w:rsid w:val="00916F8A"/>
    <w:rsid w:val="00917CE9"/>
    <w:rsid w:val="00920AE9"/>
    <w:rsid w:val="00920BF2"/>
    <w:rsid w:val="00922010"/>
    <w:rsid w:val="00923798"/>
    <w:rsid w:val="00924650"/>
    <w:rsid w:val="00926789"/>
    <w:rsid w:val="00926E4F"/>
    <w:rsid w:val="00927915"/>
    <w:rsid w:val="00927DCD"/>
    <w:rsid w:val="00931363"/>
    <w:rsid w:val="00931BD9"/>
    <w:rsid w:val="00931CBB"/>
    <w:rsid w:val="0093523B"/>
    <w:rsid w:val="009368F3"/>
    <w:rsid w:val="00941636"/>
    <w:rsid w:val="009421A0"/>
    <w:rsid w:val="00943742"/>
    <w:rsid w:val="00945C05"/>
    <w:rsid w:val="00946945"/>
    <w:rsid w:val="00947713"/>
    <w:rsid w:val="00947E7D"/>
    <w:rsid w:val="00950DE7"/>
    <w:rsid w:val="00951AF2"/>
    <w:rsid w:val="00953920"/>
    <w:rsid w:val="00953D47"/>
    <w:rsid w:val="0095681E"/>
    <w:rsid w:val="009572D4"/>
    <w:rsid w:val="00961921"/>
    <w:rsid w:val="0096430A"/>
    <w:rsid w:val="00964F46"/>
    <w:rsid w:val="0096554B"/>
    <w:rsid w:val="0096584A"/>
    <w:rsid w:val="00966415"/>
    <w:rsid w:val="009675AA"/>
    <w:rsid w:val="00971F08"/>
    <w:rsid w:val="0097603D"/>
    <w:rsid w:val="00976949"/>
    <w:rsid w:val="00980477"/>
    <w:rsid w:val="00985253"/>
    <w:rsid w:val="009853B3"/>
    <w:rsid w:val="00990630"/>
    <w:rsid w:val="00991761"/>
    <w:rsid w:val="009940CF"/>
    <w:rsid w:val="00994DCA"/>
    <w:rsid w:val="00995FD2"/>
    <w:rsid w:val="009960EC"/>
    <w:rsid w:val="009970DD"/>
    <w:rsid w:val="009976D3"/>
    <w:rsid w:val="009A04FA"/>
    <w:rsid w:val="009A0FBA"/>
    <w:rsid w:val="009A1601"/>
    <w:rsid w:val="009A2BD6"/>
    <w:rsid w:val="009A462D"/>
    <w:rsid w:val="009A4E64"/>
    <w:rsid w:val="009A54D4"/>
    <w:rsid w:val="009A5CBA"/>
    <w:rsid w:val="009A7879"/>
    <w:rsid w:val="009B1F30"/>
    <w:rsid w:val="009B3AC2"/>
    <w:rsid w:val="009B4DF4"/>
    <w:rsid w:val="009B564E"/>
    <w:rsid w:val="009B7E87"/>
    <w:rsid w:val="009C2157"/>
    <w:rsid w:val="009C403E"/>
    <w:rsid w:val="009D036E"/>
    <w:rsid w:val="009D28AD"/>
    <w:rsid w:val="009D38B6"/>
    <w:rsid w:val="009D3B25"/>
    <w:rsid w:val="009D4FF0"/>
    <w:rsid w:val="009D703C"/>
    <w:rsid w:val="009D718F"/>
    <w:rsid w:val="009D7F06"/>
    <w:rsid w:val="009E068F"/>
    <w:rsid w:val="009E14E0"/>
    <w:rsid w:val="009E35DB"/>
    <w:rsid w:val="009E47A3"/>
    <w:rsid w:val="009F08F3"/>
    <w:rsid w:val="009F344F"/>
    <w:rsid w:val="009F6BCA"/>
    <w:rsid w:val="009F70B0"/>
    <w:rsid w:val="009F7EC6"/>
    <w:rsid w:val="00A048A8"/>
    <w:rsid w:val="00A04F49"/>
    <w:rsid w:val="00A07A3D"/>
    <w:rsid w:val="00A10CFF"/>
    <w:rsid w:val="00A12CD0"/>
    <w:rsid w:val="00A13E54"/>
    <w:rsid w:val="00A14603"/>
    <w:rsid w:val="00A1679C"/>
    <w:rsid w:val="00A17F63"/>
    <w:rsid w:val="00A20B9F"/>
    <w:rsid w:val="00A2193B"/>
    <w:rsid w:val="00A2351A"/>
    <w:rsid w:val="00A23A3B"/>
    <w:rsid w:val="00A264A9"/>
    <w:rsid w:val="00A26D6B"/>
    <w:rsid w:val="00A27785"/>
    <w:rsid w:val="00A30187"/>
    <w:rsid w:val="00A31C10"/>
    <w:rsid w:val="00A3448A"/>
    <w:rsid w:val="00A36297"/>
    <w:rsid w:val="00A3793A"/>
    <w:rsid w:val="00A41E2B"/>
    <w:rsid w:val="00A45B74"/>
    <w:rsid w:val="00A52E1D"/>
    <w:rsid w:val="00A57A1E"/>
    <w:rsid w:val="00A61499"/>
    <w:rsid w:val="00A62A77"/>
    <w:rsid w:val="00A63483"/>
    <w:rsid w:val="00A64E77"/>
    <w:rsid w:val="00A657D7"/>
    <w:rsid w:val="00A660AC"/>
    <w:rsid w:val="00A67B42"/>
    <w:rsid w:val="00A67E6C"/>
    <w:rsid w:val="00A7147C"/>
    <w:rsid w:val="00A71B99"/>
    <w:rsid w:val="00A739D0"/>
    <w:rsid w:val="00A761D4"/>
    <w:rsid w:val="00A77EC4"/>
    <w:rsid w:val="00A80760"/>
    <w:rsid w:val="00A83D6A"/>
    <w:rsid w:val="00A84FDB"/>
    <w:rsid w:val="00A86279"/>
    <w:rsid w:val="00A91522"/>
    <w:rsid w:val="00A92879"/>
    <w:rsid w:val="00A937F3"/>
    <w:rsid w:val="00A9442A"/>
    <w:rsid w:val="00A9694D"/>
    <w:rsid w:val="00AA016F"/>
    <w:rsid w:val="00AA1ED6"/>
    <w:rsid w:val="00AA4176"/>
    <w:rsid w:val="00AA4429"/>
    <w:rsid w:val="00AA4F83"/>
    <w:rsid w:val="00AA51D6"/>
    <w:rsid w:val="00AA7770"/>
    <w:rsid w:val="00AB0BC8"/>
    <w:rsid w:val="00AB11CA"/>
    <w:rsid w:val="00AB14D9"/>
    <w:rsid w:val="00AB2E29"/>
    <w:rsid w:val="00AB4293"/>
    <w:rsid w:val="00AB4AB8"/>
    <w:rsid w:val="00AB655E"/>
    <w:rsid w:val="00AC007F"/>
    <w:rsid w:val="00AC25AB"/>
    <w:rsid w:val="00AC2ECD"/>
    <w:rsid w:val="00AC3119"/>
    <w:rsid w:val="00AC49FB"/>
    <w:rsid w:val="00AC5A10"/>
    <w:rsid w:val="00AC7381"/>
    <w:rsid w:val="00AD0AA3"/>
    <w:rsid w:val="00AD1D0F"/>
    <w:rsid w:val="00AD3F94"/>
    <w:rsid w:val="00AD4A5A"/>
    <w:rsid w:val="00AD69D8"/>
    <w:rsid w:val="00AE27AC"/>
    <w:rsid w:val="00AE40E0"/>
    <w:rsid w:val="00AE4527"/>
    <w:rsid w:val="00AE4A16"/>
    <w:rsid w:val="00AE4DBA"/>
    <w:rsid w:val="00AE4F07"/>
    <w:rsid w:val="00AE7C50"/>
    <w:rsid w:val="00AF1C5D"/>
    <w:rsid w:val="00AF42D7"/>
    <w:rsid w:val="00AF70B2"/>
    <w:rsid w:val="00B006FE"/>
    <w:rsid w:val="00B007CB"/>
    <w:rsid w:val="00B01170"/>
    <w:rsid w:val="00B02AA9"/>
    <w:rsid w:val="00B02FA3"/>
    <w:rsid w:val="00B05084"/>
    <w:rsid w:val="00B061F6"/>
    <w:rsid w:val="00B1159C"/>
    <w:rsid w:val="00B157F9"/>
    <w:rsid w:val="00B1693C"/>
    <w:rsid w:val="00B16AFE"/>
    <w:rsid w:val="00B20256"/>
    <w:rsid w:val="00B20D09"/>
    <w:rsid w:val="00B222B8"/>
    <w:rsid w:val="00B2763F"/>
    <w:rsid w:val="00B27AAC"/>
    <w:rsid w:val="00B30929"/>
    <w:rsid w:val="00B33528"/>
    <w:rsid w:val="00B342F3"/>
    <w:rsid w:val="00B36452"/>
    <w:rsid w:val="00B36DB1"/>
    <w:rsid w:val="00B372AA"/>
    <w:rsid w:val="00B40445"/>
    <w:rsid w:val="00B4121A"/>
    <w:rsid w:val="00B41888"/>
    <w:rsid w:val="00B436F4"/>
    <w:rsid w:val="00B45A52"/>
    <w:rsid w:val="00B46175"/>
    <w:rsid w:val="00B47DD5"/>
    <w:rsid w:val="00B52CAA"/>
    <w:rsid w:val="00B53FB8"/>
    <w:rsid w:val="00B563F3"/>
    <w:rsid w:val="00B61420"/>
    <w:rsid w:val="00B664C7"/>
    <w:rsid w:val="00B67C15"/>
    <w:rsid w:val="00B73438"/>
    <w:rsid w:val="00B739F6"/>
    <w:rsid w:val="00B743E7"/>
    <w:rsid w:val="00B7527D"/>
    <w:rsid w:val="00B779F6"/>
    <w:rsid w:val="00B8088E"/>
    <w:rsid w:val="00B816EA"/>
    <w:rsid w:val="00B81A6C"/>
    <w:rsid w:val="00B81B0D"/>
    <w:rsid w:val="00B82D1D"/>
    <w:rsid w:val="00B82E51"/>
    <w:rsid w:val="00B84013"/>
    <w:rsid w:val="00B85085"/>
    <w:rsid w:val="00B85DE5"/>
    <w:rsid w:val="00B87C43"/>
    <w:rsid w:val="00B90F73"/>
    <w:rsid w:val="00B92EA3"/>
    <w:rsid w:val="00B93B59"/>
    <w:rsid w:val="00B9406A"/>
    <w:rsid w:val="00B9650A"/>
    <w:rsid w:val="00BA2280"/>
    <w:rsid w:val="00BA2864"/>
    <w:rsid w:val="00BA2A08"/>
    <w:rsid w:val="00BA2CBB"/>
    <w:rsid w:val="00BA56D2"/>
    <w:rsid w:val="00BA76E0"/>
    <w:rsid w:val="00BB2A25"/>
    <w:rsid w:val="00BB51E9"/>
    <w:rsid w:val="00BB6077"/>
    <w:rsid w:val="00BB76A0"/>
    <w:rsid w:val="00BB7961"/>
    <w:rsid w:val="00BB7977"/>
    <w:rsid w:val="00BC0FDC"/>
    <w:rsid w:val="00BC3053"/>
    <w:rsid w:val="00BC4D2E"/>
    <w:rsid w:val="00BC6FD2"/>
    <w:rsid w:val="00BD09F7"/>
    <w:rsid w:val="00BD48AC"/>
    <w:rsid w:val="00BD5F1A"/>
    <w:rsid w:val="00BD7A42"/>
    <w:rsid w:val="00BE0814"/>
    <w:rsid w:val="00BE1234"/>
    <w:rsid w:val="00BE1C95"/>
    <w:rsid w:val="00BE2FA6"/>
    <w:rsid w:val="00BE333F"/>
    <w:rsid w:val="00BE49D7"/>
    <w:rsid w:val="00BE7406"/>
    <w:rsid w:val="00BE7603"/>
    <w:rsid w:val="00BF3279"/>
    <w:rsid w:val="00BF74C7"/>
    <w:rsid w:val="00C015F1"/>
    <w:rsid w:val="00C01F33"/>
    <w:rsid w:val="00C02356"/>
    <w:rsid w:val="00C02CC6"/>
    <w:rsid w:val="00C040F7"/>
    <w:rsid w:val="00C042B7"/>
    <w:rsid w:val="00C044AB"/>
    <w:rsid w:val="00C04DD2"/>
    <w:rsid w:val="00C05706"/>
    <w:rsid w:val="00C07377"/>
    <w:rsid w:val="00C10478"/>
    <w:rsid w:val="00C10F3D"/>
    <w:rsid w:val="00C1131A"/>
    <w:rsid w:val="00C12107"/>
    <w:rsid w:val="00C13759"/>
    <w:rsid w:val="00C14D4B"/>
    <w:rsid w:val="00C154BB"/>
    <w:rsid w:val="00C1559C"/>
    <w:rsid w:val="00C21FB1"/>
    <w:rsid w:val="00C22738"/>
    <w:rsid w:val="00C23EC4"/>
    <w:rsid w:val="00C279B5"/>
    <w:rsid w:val="00C27C45"/>
    <w:rsid w:val="00C36C34"/>
    <w:rsid w:val="00C3719D"/>
    <w:rsid w:val="00C379F5"/>
    <w:rsid w:val="00C45B86"/>
    <w:rsid w:val="00C4713E"/>
    <w:rsid w:val="00C47DF1"/>
    <w:rsid w:val="00C50BE0"/>
    <w:rsid w:val="00C52663"/>
    <w:rsid w:val="00C54995"/>
    <w:rsid w:val="00C54D41"/>
    <w:rsid w:val="00C56E0F"/>
    <w:rsid w:val="00C60783"/>
    <w:rsid w:val="00C632A4"/>
    <w:rsid w:val="00C64672"/>
    <w:rsid w:val="00C65BC9"/>
    <w:rsid w:val="00C6628F"/>
    <w:rsid w:val="00C70697"/>
    <w:rsid w:val="00C7110B"/>
    <w:rsid w:val="00C72EF4"/>
    <w:rsid w:val="00C75D2F"/>
    <w:rsid w:val="00C767BE"/>
    <w:rsid w:val="00C76E3C"/>
    <w:rsid w:val="00C77776"/>
    <w:rsid w:val="00C77795"/>
    <w:rsid w:val="00C81568"/>
    <w:rsid w:val="00C81A34"/>
    <w:rsid w:val="00C82611"/>
    <w:rsid w:val="00C9027A"/>
    <w:rsid w:val="00C9068E"/>
    <w:rsid w:val="00C93C4B"/>
    <w:rsid w:val="00C944AB"/>
    <w:rsid w:val="00C95B40"/>
    <w:rsid w:val="00CA1A85"/>
    <w:rsid w:val="00CA1ED8"/>
    <w:rsid w:val="00CB1F63"/>
    <w:rsid w:val="00CB7170"/>
    <w:rsid w:val="00CC040E"/>
    <w:rsid w:val="00CC111F"/>
    <w:rsid w:val="00CC2011"/>
    <w:rsid w:val="00CC2411"/>
    <w:rsid w:val="00CC3EA0"/>
    <w:rsid w:val="00CC7B45"/>
    <w:rsid w:val="00CD1188"/>
    <w:rsid w:val="00CD127A"/>
    <w:rsid w:val="00CD2D65"/>
    <w:rsid w:val="00CD2ED1"/>
    <w:rsid w:val="00CD337B"/>
    <w:rsid w:val="00CD6EB6"/>
    <w:rsid w:val="00CE0424"/>
    <w:rsid w:val="00CE0AF9"/>
    <w:rsid w:val="00CE3D86"/>
    <w:rsid w:val="00CE7561"/>
    <w:rsid w:val="00CF1354"/>
    <w:rsid w:val="00CF3B1F"/>
    <w:rsid w:val="00CF3BF6"/>
    <w:rsid w:val="00CF5872"/>
    <w:rsid w:val="00CF625B"/>
    <w:rsid w:val="00CF687E"/>
    <w:rsid w:val="00CF6958"/>
    <w:rsid w:val="00D00AE7"/>
    <w:rsid w:val="00D0349B"/>
    <w:rsid w:val="00D03CE2"/>
    <w:rsid w:val="00D10249"/>
    <w:rsid w:val="00D115C3"/>
    <w:rsid w:val="00D11897"/>
    <w:rsid w:val="00D13135"/>
    <w:rsid w:val="00D13D1C"/>
    <w:rsid w:val="00D13E4E"/>
    <w:rsid w:val="00D20493"/>
    <w:rsid w:val="00D239A7"/>
    <w:rsid w:val="00D23F47"/>
    <w:rsid w:val="00D31439"/>
    <w:rsid w:val="00D32A9B"/>
    <w:rsid w:val="00D36E71"/>
    <w:rsid w:val="00D3710F"/>
    <w:rsid w:val="00D37BAE"/>
    <w:rsid w:val="00D37CB9"/>
    <w:rsid w:val="00D37D87"/>
    <w:rsid w:val="00D40B33"/>
    <w:rsid w:val="00D417B3"/>
    <w:rsid w:val="00D4299C"/>
    <w:rsid w:val="00D4318F"/>
    <w:rsid w:val="00D438BF"/>
    <w:rsid w:val="00D440F8"/>
    <w:rsid w:val="00D474EC"/>
    <w:rsid w:val="00D515C7"/>
    <w:rsid w:val="00D51F65"/>
    <w:rsid w:val="00D53B52"/>
    <w:rsid w:val="00D546FF"/>
    <w:rsid w:val="00D547DD"/>
    <w:rsid w:val="00D55AD5"/>
    <w:rsid w:val="00D576CA"/>
    <w:rsid w:val="00D60712"/>
    <w:rsid w:val="00D61AF5"/>
    <w:rsid w:val="00D62262"/>
    <w:rsid w:val="00D62712"/>
    <w:rsid w:val="00D64317"/>
    <w:rsid w:val="00D652B5"/>
    <w:rsid w:val="00D6542E"/>
    <w:rsid w:val="00D66155"/>
    <w:rsid w:val="00D66CAA"/>
    <w:rsid w:val="00D708B0"/>
    <w:rsid w:val="00D77B1D"/>
    <w:rsid w:val="00D8021F"/>
    <w:rsid w:val="00D80383"/>
    <w:rsid w:val="00D80AC8"/>
    <w:rsid w:val="00D823C6"/>
    <w:rsid w:val="00D83AB2"/>
    <w:rsid w:val="00D84043"/>
    <w:rsid w:val="00D86CA3"/>
    <w:rsid w:val="00D871CE"/>
    <w:rsid w:val="00D9196D"/>
    <w:rsid w:val="00D92982"/>
    <w:rsid w:val="00D95DF5"/>
    <w:rsid w:val="00D971B1"/>
    <w:rsid w:val="00DA1092"/>
    <w:rsid w:val="00DA305E"/>
    <w:rsid w:val="00DA5417"/>
    <w:rsid w:val="00DA56E8"/>
    <w:rsid w:val="00DB0A9F"/>
    <w:rsid w:val="00DB377D"/>
    <w:rsid w:val="00DB6176"/>
    <w:rsid w:val="00DC1C50"/>
    <w:rsid w:val="00DC2D36"/>
    <w:rsid w:val="00DC53EF"/>
    <w:rsid w:val="00DD28F8"/>
    <w:rsid w:val="00DD6051"/>
    <w:rsid w:val="00DD6BE3"/>
    <w:rsid w:val="00DD6CA7"/>
    <w:rsid w:val="00DE3BDB"/>
    <w:rsid w:val="00DE5608"/>
    <w:rsid w:val="00DE58D0"/>
    <w:rsid w:val="00DE654F"/>
    <w:rsid w:val="00DE6C69"/>
    <w:rsid w:val="00DE7F38"/>
    <w:rsid w:val="00DF0B6E"/>
    <w:rsid w:val="00DF15E0"/>
    <w:rsid w:val="00DF306E"/>
    <w:rsid w:val="00DF37A0"/>
    <w:rsid w:val="00DF5B71"/>
    <w:rsid w:val="00DF7229"/>
    <w:rsid w:val="00E0032D"/>
    <w:rsid w:val="00E00660"/>
    <w:rsid w:val="00E00BE1"/>
    <w:rsid w:val="00E03AB4"/>
    <w:rsid w:val="00E07842"/>
    <w:rsid w:val="00E110E7"/>
    <w:rsid w:val="00E11B20"/>
    <w:rsid w:val="00E14C07"/>
    <w:rsid w:val="00E15FF9"/>
    <w:rsid w:val="00E17FA2"/>
    <w:rsid w:val="00E22330"/>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53C5"/>
    <w:rsid w:val="00E46886"/>
    <w:rsid w:val="00E47787"/>
    <w:rsid w:val="00E47AEF"/>
    <w:rsid w:val="00E50DDC"/>
    <w:rsid w:val="00E52A05"/>
    <w:rsid w:val="00E53B75"/>
    <w:rsid w:val="00E54E3B"/>
    <w:rsid w:val="00E570F1"/>
    <w:rsid w:val="00E57565"/>
    <w:rsid w:val="00E61125"/>
    <w:rsid w:val="00E61A89"/>
    <w:rsid w:val="00E62610"/>
    <w:rsid w:val="00E63838"/>
    <w:rsid w:val="00E64434"/>
    <w:rsid w:val="00E65010"/>
    <w:rsid w:val="00E65235"/>
    <w:rsid w:val="00E67C51"/>
    <w:rsid w:val="00E72EFC"/>
    <w:rsid w:val="00E758EC"/>
    <w:rsid w:val="00E77CCC"/>
    <w:rsid w:val="00E8234C"/>
    <w:rsid w:val="00E83AA9"/>
    <w:rsid w:val="00E84956"/>
    <w:rsid w:val="00E85928"/>
    <w:rsid w:val="00E85D06"/>
    <w:rsid w:val="00E87822"/>
    <w:rsid w:val="00E90395"/>
    <w:rsid w:val="00E90E49"/>
    <w:rsid w:val="00E91176"/>
    <w:rsid w:val="00E917F9"/>
    <w:rsid w:val="00E9291C"/>
    <w:rsid w:val="00E93FFE"/>
    <w:rsid w:val="00E94F8A"/>
    <w:rsid w:val="00E951EC"/>
    <w:rsid w:val="00E9752B"/>
    <w:rsid w:val="00EA7A41"/>
    <w:rsid w:val="00EB031C"/>
    <w:rsid w:val="00EB077B"/>
    <w:rsid w:val="00EB4EA2"/>
    <w:rsid w:val="00EC27C6"/>
    <w:rsid w:val="00EC4207"/>
    <w:rsid w:val="00EC5653"/>
    <w:rsid w:val="00EC71CE"/>
    <w:rsid w:val="00ED1006"/>
    <w:rsid w:val="00ED1628"/>
    <w:rsid w:val="00ED2AAD"/>
    <w:rsid w:val="00ED44FC"/>
    <w:rsid w:val="00ED7D94"/>
    <w:rsid w:val="00EF18FE"/>
    <w:rsid w:val="00EF3C81"/>
    <w:rsid w:val="00EF4221"/>
    <w:rsid w:val="00EF4C30"/>
    <w:rsid w:val="00EF5787"/>
    <w:rsid w:val="00EF60D0"/>
    <w:rsid w:val="00EF6A5C"/>
    <w:rsid w:val="00F00421"/>
    <w:rsid w:val="00F010A0"/>
    <w:rsid w:val="00F02513"/>
    <w:rsid w:val="00F02799"/>
    <w:rsid w:val="00F0528D"/>
    <w:rsid w:val="00F06C67"/>
    <w:rsid w:val="00F06DFD"/>
    <w:rsid w:val="00F071D1"/>
    <w:rsid w:val="00F07533"/>
    <w:rsid w:val="00F10595"/>
    <w:rsid w:val="00F10629"/>
    <w:rsid w:val="00F14FC7"/>
    <w:rsid w:val="00F15FA5"/>
    <w:rsid w:val="00F20066"/>
    <w:rsid w:val="00F209B7"/>
    <w:rsid w:val="00F229EC"/>
    <w:rsid w:val="00F2376F"/>
    <w:rsid w:val="00F243D8"/>
    <w:rsid w:val="00F2556B"/>
    <w:rsid w:val="00F262AD"/>
    <w:rsid w:val="00F275CF"/>
    <w:rsid w:val="00F27B04"/>
    <w:rsid w:val="00F30828"/>
    <w:rsid w:val="00F313D6"/>
    <w:rsid w:val="00F336BB"/>
    <w:rsid w:val="00F40F0C"/>
    <w:rsid w:val="00F42239"/>
    <w:rsid w:val="00F4766C"/>
    <w:rsid w:val="00F4799C"/>
    <w:rsid w:val="00F50548"/>
    <w:rsid w:val="00F507D1"/>
    <w:rsid w:val="00F514BD"/>
    <w:rsid w:val="00F519CE"/>
    <w:rsid w:val="00F51ADA"/>
    <w:rsid w:val="00F529F2"/>
    <w:rsid w:val="00F56091"/>
    <w:rsid w:val="00F607C5"/>
    <w:rsid w:val="00F60DEA"/>
    <w:rsid w:val="00F6302A"/>
    <w:rsid w:val="00F64C2B"/>
    <w:rsid w:val="00F651BE"/>
    <w:rsid w:val="00F67F53"/>
    <w:rsid w:val="00F703BE"/>
    <w:rsid w:val="00F71F69"/>
    <w:rsid w:val="00F72B72"/>
    <w:rsid w:val="00F74BB9"/>
    <w:rsid w:val="00F75582"/>
    <w:rsid w:val="00F768B3"/>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2BB3"/>
    <w:rsid w:val="00FB18A5"/>
    <w:rsid w:val="00FB216B"/>
    <w:rsid w:val="00FB3B05"/>
    <w:rsid w:val="00FB4C80"/>
    <w:rsid w:val="00FB6A6A"/>
    <w:rsid w:val="00FC3228"/>
    <w:rsid w:val="00FC4E33"/>
    <w:rsid w:val="00FC721F"/>
    <w:rsid w:val="00FC7429"/>
    <w:rsid w:val="00FC74B1"/>
    <w:rsid w:val="00FD07F6"/>
    <w:rsid w:val="00FD0EE5"/>
    <w:rsid w:val="00FD1EC8"/>
    <w:rsid w:val="00FD2354"/>
    <w:rsid w:val="00FD37DA"/>
    <w:rsid w:val="00FD47ED"/>
    <w:rsid w:val="00FD50C6"/>
    <w:rsid w:val="00FD74DB"/>
    <w:rsid w:val="00FD7660"/>
    <w:rsid w:val="00FE0655"/>
    <w:rsid w:val="00FE2365"/>
    <w:rsid w:val="00FE2ABC"/>
    <w:rsid w:val="00FE4BE3"/>
    <w:rsid w:val="00FE4C7B"/>
    <w:rsid w:val="00FE6C12"/>
    <w:rsid w:val="00FE7336"/>
    <w:rsid w:val="00FE787C"/>
    <w:rsid w:val="00FF3DE7"/>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15:docId w15:val="{78F57FE6-82C6-48B9-8D56-F0B2E15096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rsid w:val="009C403E"/>
    <w:rPr>
      <w:sz w:val="16"/>
      <w:szCs w:val="16"/>
    </w:rPr>
  </w:style>
  <w:style w:type="paragraph" w:styleId="CommentText">
    <w:name w:val="annotation text"/>
    <w:basedOn w:val="Normal"/>
    <w:link w:val="CommentTextChar"/>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link w:val="B1Zchn"/>
    <w:rsid w:val="009960EC"/>
    <w:pPr>
      <w:spacing w:after="180"/>
      <w:jc w:val="left"/>
    </w:pPr>
    <w:rPr>
      <w:lang w:eastAsia="en-US"/>
    </w:rPr>
  </w:style>
  <w:style w:type="paragraph" w:customStyle="1" w:styleId="B2">
    <w:name w:val="B2"/>
    <w:basedOn w:val="List2"/>
    <w:link w:val="B2Char"/>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17"/>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9"/>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0"/>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rsid w:val="00173344"/>
    <w:rPr>
      <w:rFonts w:ascii="Arial" w:hAnsi="Arial"/>
      <w:lang w:val="en-GB" w:eastAsia="zh-CN"/>
    </w:rPr>
  </w:style>
  <w:style w:type="character" w:customStyle="1" w:styleId="B1Zchn">
    <w:name w:val="B1 Zchn"/>
    <w:link w:val="B1"/>
    <w:locked/>
    <w:rsid w:val="006A49A6"/>
    <w:rPr>
      <w:rFonts w:ascii="Arial" w:hAnsi="Arial"/>
      <w:lang w:val="en-GB"/>
    </w:rPr>
  </w:style>
  <w:style w:type="paragraph" w:customStyle="1" w:styleId="Guidance">
    <w:name w:val="Guidance"/>
    <w:basedOn w:val="Normal"/>
    <w:rsid w:val="0024749E"/>
    <w:pPr>
      <w:overflowPunct/>
      <w:autoSpaceDE/>
      <w:autoSpaceDN/>
      <w:adjustRightInd/>
      <w:spacing w:after="180"/>
      <w:jc w:val="left"/>
      <w:textAlignment w:val="auto"/>
    </w:pPr>
    <w:rPr>
      <w:rFonts w:ascii="Times New Roman" w:eastAsia="MS Mincho" w:hAnsi="Times New Roman"/>
      <w:i/>
      <w:color w:val="0000FF"/>
      <w:lang w:eastAsia="en-US"/>
    </w:rPr>
  </w:style>
  <w:style w:type="paragraph" w:customStyle="1" w:styleId="NO">
    <w:name w:val="NO"/>
    <w:basedOn w:val="Normal"/>
    <w:link w:val="NOChar1"/>
    <w:rsid w:val="00B779F6"/>
    <w:pPr>
      <w:keepLines/>
      <w:spacing w:after="180"/>
      <w:ind w:left="1135" w:hanging="851"/>
      <w:jc w:val="left"/>
    </w:pPr>
    <w:rPr>
      <w:rFonts w:ascii="Times New Roman" w:eastAsia="MS Mincho" w:hAnsi="Times New Roman"/>
      <w:lang w:eastAsia="en-US"/>
    </w:rPr>
  </w:style>
  <w:style w:type="paragraph" w:customStyle="1" w:styleId="IvDInstructiontext">
    <w:name w:val="IvD Instructiontext"/>
    <w:basedOn w:val="BodyText"/>
    <w:link w:val="IvDInstructiontextChar"/>
    <w:uiPriority w:val="99"/>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2B1D1A"/>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2B1D1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eastAsia="en-US"/>
    </w:rPr>
  </w:style>
  <w:style w:type="character" w:customStyle="1" w:styleId="IvDbodytextChar">
    <w:name w:val="IvD bodytext Char"/>
    <w:basedOn w:val="BodyTextChar"/>
    <w:link w:val="IvDbodytext"/>
    <w:rsid w:val="002B1D1A"/>
    <w:rPr>
      <w:rFonts w:ascii="Arial" w:hAnsi="Arial"/>
      <w:spacing w:val="2"/>
      <w:lang w:val="en-GB"/>
    </w:rPr>
  </w:style>
  <w:style w:type="character" w:customStyle="1" w:styleId="NOChar1">
    <w:name w:val="NO Char1"/>
    <w:link w:val="NO"/>
    <w:rsid w:val="002B1D1A"/>
    <w:rPr>
      <w:rFonts w:ascii="Times New Roman" w:eastAsia="MS Mincho" w:hAnsi="Times New Roman"/>
      <w:lang w:val="en-GB"/>
    </w:rPr>
  </w:style>
  <w:style w:type="paragraph" w:customStyle="1" w:styleId="CRCoverPage">
    <w:name w:val="CR Cover Page"/>
    <w:rsid w:val="004141DD"/>
    <w:pPr>
      <w:spacing w:after="120"/>
    </w:pPr>
    <w:rPr>
      <w:rFonts w:ascii="Arial" w:hAnsi="Arial"/>
      <w:lang w:val="en-GB"/>
    </w:rPr>
  </w:style>
  <w:style w:type="paragraph" w:styleId="Revision">
    <w:name w:val="Revision"/>
    <w:hidden/>
    <w:uiPriority w:val="99"/>
    <w:semiHidden/>
    <w:rsid w:val="00BB7977"/>
    <w:rPr>
      <w:rFonts w:ascii="Arial" w:hAnsi="Arial"/>
      <w:lang w:val="en-GB" w:eastAsia="zh-CN"/>
    </w:rPr>
  </w:style>
  <w:style w:type="paragraph" w:styleId="EndnoteText">
    <w:name w:val="endnote text"/>
    <w:basedOn w:val="Normal"/>
    <w:link w:val="EndnoteTextChar"/>
    <w:semiHidden/>
    <w:unhideWhenUsed/>
    <w:rsid w:val="00DF306E"/>
    <w:pPr>
      <w:spacing w:after="0"/>
    </w:pPr>
  </w:style>
  <w:style w:type="character" w:customStyle="1" w:styleId="EndnoteTextChar">
    <w:name w:val="Endnote Text Char"/>
    <w:basedOn w:val="DefaultParagraphFont"/>
    <w:link w:val="EndnoteText"/>
    <w:semiHidden/>
    <w:rsid w:val="00DF306E"/>
    <w:rPr>
      <w:rFonts w:ascii="Arial" w:hAnsi="Arial"/>
      <w:lang w:val="en-GB" w:eastAsia="zh-CN"/>
    </w:rPr>
  </w:style>
  <w:style w:type="character" w:styleId="EndnoteReference">
    <w:name w:val="endnote reference"/>
    <w:basedOn w:val="DefaultParagraphFont"/>
    <w:semiHidden/>
    <w:unhideWhenUsed/>
    <w:rsid w:val="00DF306E"/>
    <w:rPr>
      <w:vertAlign w:val="superscript"/>
    </w:rPr>
  </w:style>
  <w:style w:type="character" w:customStyle="1" w:styleId="B1Char1">
    <w:name w:val="B1 Char1"/>
    <w:basedOn w:val="DefaultParagraphFont"/>
    <w:rsid w:val="000811CF"/>
    <w:rPr>
      <w:rFonts w:eastAsia="MS Mincho"/>
      <w:lang w:val="en-GB" w:eastAsia="ja-JP" w:bidi="ar-SA"/>
    </w:rPr>
  </w:style>
  <w:style w:type="character" w:customStyle="1" w:styleId="B2Char">
    <w:name w:val="B2 Char"/>
    <w:link w:val="B2"/>
    <w:locked/>
    <w:rsid w:val="000811CF"/>
    <w:rPr>
      <w:rFonts w:ascii="Arial" w:hAnsi="Arial"/>
      <w:lang w:val="en-GB"/>
    </w:rPr>
  </w:style>
  <w:style w:type="character" w:customStyle="1" w:styleId="PLChar">
    <w:name w:val="PL Char"/>
    <w:basedOn w:val="DefaultParagraphFont"/>
    <w:link w:val="PL"/>
    <w:locked/>
    <w:rsid w:val="000C17D9"/>
    <w:rPr>
      <w:rFonts w:ascii="Courier New" w:hAnsi="Courier New" w:cs="Courier New"/>
    </w:rPr>
  </w:style>
  <w:style w:type="paragraph" w:customStyle="1" w:styleId="PL">
    <w:name w:val="PL"/>
    <w:basedOn w:val="Normal"/>
    <w:link w:val="PLChar"/>
    <w:rsid w:val="000C17D9"/>
    <w:pPr>
      <w:adjustRightInd/>
      <w:spacing w:after="0"/>
      <w:jc w:val="left"/>
      <w:textAlignment w:val="auto"/>
    </w:pPr>
    <w:rPr>
      <w:rFonts w:ascii="Courier New" w:hAnsi="Courier New" w:cs="Courier New"/>
      <w:lang w:val="en-US" w:eastAsia="en-US"/>
    </w:rPr>
  </w:style>
  <w:style w:type="paragraph" w:customStyle="1" w:styleId="Doc-text2">
    <w:name w:val="Doc-text2"/>
    <w:basedOn w:val="Normal"/>
    <w:link w:val="Doc-text2Char"/>
    <w:qFormat/>
    <w:rsid w:val="005008F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5008F7"/>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2724095">
      <w:bodyDiv w:val="1"/>
      <w:marLeft w:val="0"/>
      <w:marRight w:val="0"/>
      <w:marTop w:val="0"/>
      <w:marBottom w:val="0"/>
      <w:divBdr>
        <w:top w:val="none" w:sz="0" w:space="0" w:color="auto"/>
        <w:left w:val="none" w:sz="0" w:space="0" w:color="auto"/>
        <w:bottom w:val="none" w:sz="0" w:space="0" w:color="auto"/>
        <w:right w:val="none" w:sz="0" w:space="0" w:color="auto"/>
      </w:divBdr>
    </w:div>
    <w:div w:id="523441612">
      <w:bodyDiv w:val="1"/>
      <w:marLeft w:val="0"/>
      <w:marRight w:val="0"/>
      <w:marTop w:val="0"/>
      <w:marBottom w:val="0"/>
      <w:divBdr>
        <w:top w:val="none" w:sz="0" w:space="0" w:color="auto"/>
        <w:left w:val="none" w:sz="0" w:space="0" w:color="auto"/>
        <w:bottom w:val="none" w:sz="0" w:space="0" w:color="auto"/>
        <w:right w:val="none" w:sz="0" w:space="0" w:color="auto"/>
      </w:divBdr>
    </w:div>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757563046">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955135918">
      <w:bodyDiv w:val="1"/>
      <w:marLeft w:val="0"/>
      <w:marRight w:val="0"/>
      <w:marTop w:val="0"/>
      <w:marBottom w:val="0"/>
      <w:divBdr>
        <w:top w:val="none" w:sz="0" w:space="0" w:color="auto"/>
        <w:left w:val="none" w:sz="0" w:space="0" w:color="auto"/>
        <w:bottom w:val="none" w:sz="0" w:space="0" w:color="auto"/>
        <w:right w:val="none" w:sz="0" w:space="0" w:color="auto"/>
      </w:divBdr>
    </w:div>
    <w:div w:id="1137530267">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13822165">
      <w:bodyDiv w:val="1"/>
      <w:marLeft w:val="0"/>
      <w:marRight w:val="0"/>
      <w:marTop w:val="0"/>
      <w:marBottom w:val="0"/>
      <w:divBdr>
        <w:top w:val="none" w:sz="0" w:space="0" w:color="auto"/>
        <w:left w:val="none" w:sz="0" w:space="0" w:color="auto"/>
        <w:bottom w:val="none" w:sz="0" w:space="0" w:color="auto"/>
        <w:right w:val="none" w:sz="0" w:space="0" w:color="auto"/>
      </w:divBdr>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SAQRZK7RPU5V-1-467</_dlc_DocId>
    <_dlc_DocIdUrl xmlns="08b2df90-05d3-4030-90d4-c9feeb4a1cd9">
      <Url>https://ericoll.internal.ericsson.com/sites/NSA/_layouts/DocIdRedir.aspx?ID=SAQRZK7RPU5V-1-467</Url>
      <Description>SAQRZK7RPU5V-1-467</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2.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3.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4.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5.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B9D2F6-6994-4720-97CF-3F186A658C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Template>
  <TotalTime>1666</TotalTime>
  <Pages>4</Pages>
  <Words>1378</Words>
  <Characters>11170</Characters>
  <Application>Microsoft Office Word</Application>
  <DocSecurity>0</DocSecurity>
  <Lines>93</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12523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fan rui</dc:creator>
  <cp:keywords>Ericsson; TDoc; 3GPP</cp:keywords>
  <dc:description/>
  <cp:lastModifiedBy>Stefan Wager</cp:lastModifiedBy>
  <cp:revision>34</cp:revision>
  <cp:lastPrinted>2016-01-26T08:44:00Z</cp:lastPrinted>
  <dcterms:created xsi:type="dcterms:W3CDTF">2016-09-09T10:05:00Z</dcterms:created>
  <dcterms:modified xsi:type="dcterms:W3CDTF">2016-09-30T19:25:00Z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2016-09-22T22:00:00Z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f7157bd3-ca5c-4924-b51b-f01870ba5900</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y fmtid="{D5CDD505-2E9C-101B-9397-08002B2CF9AE}" pid="14" name="TaxKeywordTaxHTField">
    <vt:lpwstr>Ericsson|11111111-1111-1111-1111-111111111111;TDoc|11111111-1111-1111-1111-111111111111;3GPP|11111111-1111-1111-1111-111111111111</vt:lpwstr>
  </property>
</Properties>
</file>